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4EA" w:rsidRDefault="008E3366" w:rsidP="007B74EA">
      <w:pPr>
        <w:pStyle w:val="Heading1"/>
        <w:jc w:val="center"/>
        <w:rPr>
          <w:lang w:val="en-CA"/>
        </w:rPr>
      </w:pPr>
      <w:r>
        <w:rPr>
          <w:lang w:val="en-CA"/>
        </w:rPr>
        <w:t xml:space="preserve">PROMISING/BEST </w:t>
      </w:r>
      <w:r w:rsidR="007B74EA">
        <w:rPr>
          <w:lang w:val="en-CA"/>
        </w:rPr>
        <w:t>PRACTICES</w:t>
      </w:r>
    </w:p>
    <w:p w:rsidR="00A471FC" w:rsidRDefault="00A471FC" w:rsidP="00F64BE2">
      <w:pPr>
        <w:pStyle w:val="Heading1"/>
        <w:rPr>
          <w:lang w:val="en-CA"/>
        </w:rPr>
      </w:pPr>
      <w:r>
        <w:rPr>
          <w:lang w:val="en-CA"/>
        </w:rPr>
        <w:t>Country:</w:t>
      </w:r>
      <w:r w:rsidR="00B25D5F">
        <w:rPr>
          <w:lang w:val="en-CA"/>
        </w:rPr>
        <w:t xml:space="preserve"> </w:t>
      </w:r>
      <w:r w:rsidR="00F77A7B">
        <w:rPr>
          <w:lang w:val="en-CA"/>
        </w:rPr>
        <w:t xml:space="preserve">Norway </w:t>
      </w:r>
      <w:r w:rsidR="00763D07">
        <w:rPr>
          <w:lang w:val="en-CA"/>
        </w:rPr>
        <w:t>– developing lifelong guidance system</w:t>
      </w:r>
    </w:p>
    <w:tbl>
      <w:tblPr>
        <w:tblStyle w:val="TableGrid8"/>
        <w:tblW w:w="10772" w:type="dxa"/>
        <w:tblInd w:w="-432" w:type="dxa"/>
        <w:tblLayout w:type="fixed"/>
        <w:tblLook w:val="01E0" w:firstRow="1" w:lastRow="1" w:firstColumn="1" w:lastColumn="1" w:noHBand="0" w:noVBand="0"/>
      </w:tblPr>
      <w:tblGrid>
        <w:gridCol w:w="2160"/>
        <w:gridCol w:w="8612"/>
      </w:tblGrid>
      <w:tr w:rsidR="00F77A7B" w:rsidRPr="00453E74" w:rsidTr="00F77A7B">
        <w:trPr>
          <w:cnfStyle w:val="100000000000" w:firstRow="1" w:lastRow="0" w:firstColumn="0" w:lastColumn="0" w:oddVBand="0" w:evenVBand="0" w:oddHBand="0" w:evenHBand="0" w:firstRowFirstColumn="0" w:firstRowLastColumn="0" w:lastRowFirstColumn="0" w:lastRowLastColumn="0"/>
          <w:trHeight w:val="840"/>
        </w:trPr>
        <w:tc>
          <w:tcPr>
            <w:tcW w:w="2160" w:type="dxa"/>
            <w:vAlign w:val="center"/>
          </w:tcPr>
          <w:p w:rsidR="00F77A7B" w:rsidRPr="00453E74" w:rsidRDefault="00F77A7B" w:rsidP="00032916">
            <w:pPr>
              <w:jc w:val="center"/>
              <w:rPr>
                <w:rFonts w:ascii="Arial" w:hAnsi="Arial" w:cs="Arial"/>
                <w:sz w:val="28"/>
                <w:szCs w:val="28"/>
                <w:lang w:val="en-CA"/>
              </w:rPr>
            </w:pPr>
          </w:p>
        </w:tc>
        <w:tc>
          <w:tcPr>
            <w:cnfStyle w:val="000100000000" w:firstRow="0" w:lastRow="0" w:firstColumn="0" w:lastColumn="1" w:oddVBand="0" w:evenVBand="0" w:oddHBand="0" w:evenHBand="0" w:firstRowFirstColumn="0" w:firstRowLastColumn="0" w:lastRowFirstColumn="0" w:lastRowLastColumn="0"/>
            <w:tcW w:w="8612" w:type="dxa"/>
            <w:vAlign w:val="center"/>
          </w:tcPr>
          <w:p w:rsidR="00F77A7B" w:rsidRPr="00453E74" w:rsidRDefault="00F77A7B" w:rsidP="00032916">
            <w:pPr>
              <w:jc w:val="center"/>
              <w:rPr>
                <w:rFonts w:ascii="Arial" w:hAnsi="Arial" w:cs="Arial"/>
                <w:sz w:val="28"/>
                <w:szCs w:val="28"/>
                <w:lang w:val="en-CA"/>
              </w:rPr>
            </w:pPr>
            <w:r>
              <w:rPr>
                <w:rFonts w:ascii="Arial" w:hAnsi="Arial" w:cs="Arial"/>
                <w:sz w:val="28"/>
                <w:szCs w:val="28"/>
                <w:lang w:val="en-CA"/>
              </w:rPr>
              <w:t>Description</w:t>
            </w:r>
          </w:p>
        </w:tc>
      </w:tr>
      <w:tr w:rsidR="00F77A7B" w:rsidRPr="00453E74" w:rsidTr="00F77A7B">
        <w:trPr>
          <w:trHeight w:val="1152"/>
        </w:trPr>
        <w:tc>
          <w:tcPr>
            <w:tcW w:w="2160" w:type="dxa"/>
            <w:vAlign w:val="center"/>
          </w:tcPr>
          <w:p w:rsidR="00F77A7B" w:rsidRPr="00453E74" w:rsidRDefault="00F77A7B" w:rsidP="00F77A7B">
            <w:pPr>
              <w:rPr>
                <w:rFonts w:ascii="Arial" w:hAnsi="Arial" w:cs="Arial"/>
                <w:b/>
                <w:sz w:val="20"/>
                <w:szCs w:val="20"/>
                <w:lang w:val="en-CA"/>
              </w:rPr>
            </w:pPr>
            <w:r w:rsidRPr="00453E74">
              <w:rPr>
                <w:rFonts w:ascii="Arial" w:hAnsi="Arial" w:cs="Arial"/>
                <w:b/>
                <w:sz w:val="20"/>
                <w:szCs w:val="20"/>
                <w:lang w:val="en-CA"/>
              </w:rPr>
              <w:t xml:space="preserve">Overview of </w:t>
            </w:r>
            <w:r>
              <w:rPr>
                <w:rFonts w:ascii="Arial" w:hAnsi="Arial" w:cs="Arial"/>
                <w:b/>
                <w:sz w:val="20"/>
                <w:szCs w:val="20"/>
                <w:lang w:val="en-CA"/>
              </w:rPr>
              <w:t>the Norwegian Lifelong Guidance System</w:t>
            </w:r>
          </w:p>
        </w:tc>
        <w:tc>
          <w:tcPr>
            <w:cnfStyle w:val="000100000000" w:firstRow="0" w:lastRow="0" w:firstColumn="0" w:lastColumn="1" w:oddVBand="0" w:evenVBand="0" w:oddHBand="0" w:evenHBand="0" w:firstRowFirstColumn="0" w:firstRowLastColumn="0" w:lastRowFirstColumn="0" w:lastRowLastColumn="0"/>
            <w:tcW w:w="8612" w:type="dxa"/>
          </w:tcPr>
          <w:p w:rsidR="002D687E" w:rsidRPr="002D687E" w:rsidRDefault="00F77A7B" w:rsidP="00816A55">
            <w:pPr>
              <w:rPr>
                <w:rFonts w:eastAsia="MS Mincho"/>
                <w:sz w:val="20"/>
                <w:szCs w:val="20"/>
                <w:lang w:eastAsia="fi-FI"/>
              </w:rPr>
            </w:pPr>
            <w:r w:rsidRPr="002D687E">
              <w:rPr>
                <w:rFonts w:eastAsia="MS Mincho"/>
                <w:sz w:val="20"/>
                <w:szCs w:val="20"/>
                <w:lang w:eastAsia="fi-FI"/>
              </w:rPr>
              <w:t xml:space="preserve">Schools </w:t>
            </w:r>
            <w:r w:rsidR="002D687E" w:rsidRPr="002D687E">
              <w:rPr>
                <w:rFonts w:eastAsia="MS Mincho"/>
                <w:sz w:val="20"/>
                <w:szCs w:val="20"/>
                <w:lang w:eastAsia="fi-FI"/>
              </w:rPr>
              <w:t xml:space="preserve">- </w:t>
            </w:r>
            <w:r w:rsidR="00441D74">
              <w:rPr>
                <w:rFonts w:eastAsia="MS Mincho"/>
                <w:sz w:val="20"/>
                <w:szCs w:val="20"/>
                <w:lang w:eastAsia="fi-FI"/>
              </w:rPr>
              <w:t>Primary Education:</w:t>
            </w:r>
            <w:r w:rsidR="002D687E">
              <w:rPr>
                <w:rFonts w:eastAsia="MS Mincho"/>
                <w:sz w:val="20"/>
                <w:szCs w:val="20"/>
                <w:lang w:eastAsia="fi-FI"/>
              </w:rPr>
              <w:br/>
              <w:t>P</w:t>
            </w:r>
            <w:r w:rsidR="002D687E" w:rsidRPr="002D687E">
              <w:rPr>
                <w:rFonts w:eastAsia="MS Mincho"/>
                <w:b w:val="0"/>
                <w:sz w:val="20"/>
                <w:szCs w:val="20"/>
                <w:lang w:eastAsia="fi-FI"/>
              </w:rPr>
              <w:t>upils in lower, secondary, and upper secondary education have an individual right to receive nece</w:t>
            </w:r>
            <w:r w:rsidR="004E72E8">
              <w:rPr>
                <w:rFonts w:eastAsia="MS Mincho"/>
                <w:b w:val="0"/>
                <w:sz w:val="20"/>
                <w:szCs w:val="20"/>
                <w:lang w:eastAsia="fi-FI"/>
              </w:rPr>
              <w:t>ssary guidance. The school management is responsible for addressing</w:t>
            </w:r>
            <w:r w:rsidR="002D687E" w:rsidRPr="002D687E">
              <w:rPr>
                <w:rFonts w:eastAsia="MS Mincho"/>
                <w:b w:val="0"/>
                <w:sz w:val="20"/>
                <w:szCs w:val="20"/>
                <w:lang w:eastAsia="fi-FI"/>
              </w:rPr>
              <w:t xml:space="preserve"> the pupil’s right to guidance. </w:t>
            </w:r>
          </w:p>
          <w:p w:rsidR="002D687E" w:rsidRPr="002D687E" w:rsidRDefault="002D687E" w:rsidP="00816A55">
            <w:pPr>
              <w:rPr>
                <w:rFonts w:eastAsia="MS Mincho"/>
                <w:b w:val="0"/>
                <w:sz w:val="20"/>
                <w:szCs w:val="20"/>
                <w:lang w:eastAsia="fi-FI"/>
              </w:rPr>
            </w:pPr>
          </w:p>
          <w:p w:rsidR="002D687E" w:rsidRDefault="002D687E" w:rsidP="00816A55">
            <w:pPr>
              <w:rPr>
                <w:rFonts w:eastAsia="MS Mincho"/>
                <w:b w:val="0"/>
                <w:sz w:val="20"/>
                <w:szCs w:val="20"/>
                <w:lang w:eastAsia="fi-FI"/>
              </w:rPr>
            </w:pPr>
            <w:r w:rsidRPr="002D687E">
              <w:rPr>
                <w:rFonts w:eastAsia="MS Mincho"/>
                <w:b w:val="0"/>
                <w:sz w:val="20"/>
                <w:szCs w:val="20"/>
                <w:lang w:eastAsia="fi-FI"/>
              </w:rPr>
              <w:t>The right to necessary guidance implies that the pupil has access to information, guidance, follow-up, as well as help to adapt well into the school environment and to make decisions on future vocational and educational choices. The guidance is intended to help decrease social inequality, prevent dropout, and to integrate ethnic minorities. The pupil is entitled to receive the help he or she needs to facilitate personal development and to exploit individual resources, unlimited by traditional gender roles.</w:t>
            </w:r>
          </w:p>
          <w:p w:rsidR="002D687E" w:rsidRDefault="002D687E" w:rsidP="00816A55">
            <w:pPr>
              <w:rPr>
                <w:rFonts w:eastAsia="MS Mincho"/>
                <w:b w:val="0"/>
                <w:sz w:val="20"/>
                <w:szCs w:val="20"/>
                <w:lang w:eastAsia="fi-FI"/>
              </w:rPr>
            </w:pPr>
          </w:p>
          <w:p w:rsidR="002D687E" w:rsidRDefault="002D687E" w:rsidP="00816A55">
            <w:pPr>
              <w:rPr>
                <w:rFonts w:eastAsia="MS Mincho"/>
                <w:b w:val="0"/>
                <w:sz w:val="20"/>
                <w:szCs w:val="20"/>
                <w:lang w:eastAsia="fi-FI"/>
              </w:rPr>
            </w:pPr>
            <w:r w:rsidRPr="002D687E">
              <w:rPr>
                <w:rFonts w:eastAsia="MS Mincho"/>
                <w:b w:val="0"/>
                <w:sz w:val="20"/>
                <w:szCs w:val="20"/>
                <w:lang w:eastAsia="fi-FI"/>
              </w:rPr>
              <w:t>Guidance to pupils in lower and upper secondar</w:t>
            </w:r>
            <w:r w:rsidR="00816A55">
              <w:rPr>
                <w:rFonts w:eastAsia="MS Mincho"/>
                <w:b w:val="0"/>
                <w:sz w:val="20"/>
                <w:szCs w:val="20"/>
                <w:lang w:eastAsia="fi-FI"/>
              </w:rPr>
              <w:t xml:space="preserve">y education is part of the work </w:t>
            </w:r>
            <w:r w:rsidRPr="002D687E">
              <w:rPr>
                <w:rFonts w:eastAsia="MS Mincho"/>
                <w:b w:val="0"/>
                <w:sz w:val="20"/>
                <w:szCs w:val="20"/>
                <w:lang w:eastAsia="fi-FI"/>
              </w:rPr>
              <w:t xml:space="preserve">load for one or more teachers in each school. The teachers are qualified as counsellors through local or regional in-service training courses, and through further educational courses in career </w:t>
            </w:r>
            <w:r>
              <w:rPr>
                <w:rFonts w:eastAsia="MS Mincho"/>
                <w:b w:val="0"/>
                <w:sz w:val="20"/>
                <w:szCs w:val="20"/>
                <w:lang w:eastAsia="fi-FI"/>
              </w:rPr>
              <w:t>guidance</w:t>
            </w:r>
            <w:r w:rsidRPr="002D687E">
              <w:rPr>
                <w:rFonts w:eastAsia="MS Mincho"/>
                <w:b w:val="0"/>
                <w:sz w:val="20"/>
                <w:szCs w:val="20"/>
                <w:lang w:eastAsia="fi-FI"/>
              </w:rPr>
              <w:t xml:space="preserve"> delivered by universities and university colleges. Guidance counsellors are obliged to be up to date on educational options and labour market needs. Therefore, and in order to secure the quality of the service, guidelines for guidance counsellors’ educational competences have been established. Regional partnerships for educational and vocational guidance in a lifelong perspective have been estab</w:t>
            </w:r>
            <w:r w:rsidR="00004AE6">
              <w:rPr>
                <w:rFonts w:eastAsia="MS Mincho"/>
                <w:b w:val="0"/>
                <w:sz w:val="20"/>
                <w:szCs w:val="20"/>
                <w:lang w:eastAsia="fi-FI"/>
              </w:rPr>
              <w:t>lished, and most counties have Career C</w:t>
            </w:r>
            <w:r w:rsidRPr="002D687E">
              <w:rPr>
                <w:rFonts w:eastAsia="MS Mincho"/>
                <w:b w:val="0"/>
                <w:sz w:val="20"/>
                <w:szCs w:val="20"/>
                <w:lang w:eastAsia="fi-FI"/>
              </w:rPr>
              <w:t>entres organised by these partnerships. Among other tasks</w:t>
            </w:r>
            <w:r w:rsidR="00004AE6">
              <w:rPr>
                <w:rFonts w:eastAsia="MS Mincho"/>
                <w:b w:val="0"/>
                <w:sz w:val="20"/>
                <w:szCs w:val="20"/>
                <w:lang w:eastAsia="fi-FI"/>
              </w:rPr>
              <w:t>, the Career Centres are resources for</w:t>
            </w:r>
            <w:r w:rsidRPr="002D687E">
              <w:rPr>
                <w:rFonts w:eastAsia="MS Mincho"/>
                <w:b w:val="0"/>
                <w:sz w:val="20"/>
                <w:szCs w:val="20"/>
                <w:lang w:eastAsia="fi-FI"/>
              </w:rPr>
              <w:t xml:space="preserve"> the school guidance service</w:t>
            </w:r>
            <w:r w:rsidR="00004AE6">
              <w:rPr>
                <w:rFonts w:eastAsia="MS Mincho"/>
                <w:b w:val="0"/>
                <w:sz w:val="20"/>
                <w:szCs w:val="20"/>
                <w:lang w:eastAsia="fi-FI"/>
              </w:rPr>
              <w:t>.</w:t>
            </w:r>
          </w:p>
          <w:p w:rsidR="002D687E" w:rsidRDefault="002D687E" w:rsidP="00816A55">
            <w:pPr>
              <w:rPr>
                <w:rFonts w:eastAsia="MS Mincho"/>
                <w:b w:val="0"/>
                <w:sz w:val="20"/>
                <w:szCs w:val="20"/>
                <w:lang w:eastAsia="fi-FI"/>
              </w:rPr>
            </w:pPr>
          </w:p>
          <w:p w:rsidR="00441D74" w:rsidRDefault="00441D74" w:rsidP="00816A55">
            <w:pPr>
              <w:rPr>
                <w:rFonts w:eastAsia="MS Mincho"/>
                <w:b w:val="0"/>
                <w:color w:val="000000" w:themeColor="text1"/>
                <w:sz w:val="20"/>
                <w:szCs w:val="20"/>
                <w:lang w:eastAsia="fi-FI"/>
              </w:rPr>
            </w:pPr>
            <w:r w:rsidRPr="00CF3B1B">
              <w:rPr>
                <w:rFonts w:eastAsia="MS Mincho"/>
                <w:color w:val="000000" w:themeColor="text1"/>
                <w:sz w:val="20"/>
                <w:szCs w:val="20"/>
                <w:lang w:eastAsia="fi-FI"/>
              </w:rPr>
              <w:t>Higher education institutions:</w:t>
            </w:r>
            <w:r>
              <w:rPr>
                <w:rFonts w:eastAsia="MS Mincho"/>
                <w:b w:val="0"/>
                <w:color w:val="000000" w:themeColor="text1"/>
                <w:sz w:val="20"/>
                <w:szCs w:val="20"/>
                <w:lang w:eastAsia="fi-FI"/>
              </w:rPr>
              <w:br/>
              <w:t>H</w:t>
            </w:r>
            <w:r w:rsidRPr="00CF3B1B">
              <w:rPr>
                <w:rFonts w:eastAsia="MS Mincho"/>
                <w:b w:val="0"/>
                <w:color w:val="000000" w:themeColor="text1"/>
                <w:sz w:val="20"/>
                <w:szCs w:val="20"/>
                <w:lang w:eastAsia="fi-FI"/>
              </w:rPr>
              <w:t>ave to some degree established career guidance serv</w:t>
            </w:r>
            <w:r>
              <w:rPr>
                <w:rFonts w:eastAsia="MS Mincho"/>
                <w:b w:val="0"/>
                <w:color w:val="000000" w:themeColor="text1"/>
                <w:sz w:val="20"/>
                <w:szCs w:val="20"/>
                <w:lang w:eastAsia="fi-FI"/>
              </w:rPr>
              <w:t>ices for students and graduates, mostly aimed at assisting graduates finding</w:t>
            </w:r>
            <w:r w:rsidR="00004AE6">
              <w:rPr>
                <w:rFonts w:eastAsia="MS Mincho"/>
                <w:b w:val="0"/>
                <w:color w:val="000000" w:themeColor="text1"/>
                <w:sz w:val="20"/>
                <w:szCs w:val="20"/>
                <w:lang w:eastAsia="fi-FI"/>
              </w:rPr>
              <w:t xml:space="preserve"> a</w:t>
            </w:r>
            <w:r>
              <w:rPr>
                <w:rFonts w:eastAsia="MS Mincho"/>
                <w:b w:val="0"/>
                <w:color w:val="000000" w:themeColor="text1"/>
                <w:sz w:val="20"/>
                <w:szCs w:val="20"/>
                <w:lang w:eastAsia="fi-FI"/>
              </w:rPr>
              <w:t xml:space="preserve"> job after graduation. </w:t>
            </w:r>
          </w:p>
          <w:p w:rsidR="00441D74" w:rsidRDefault="00441D74" w:rsidP="00816A55">
            <w:pPr>
              <w:rPr>
                <w:rFonts w:eastAsia="MS Mincho"/>
                <w:b w:val="0"/>
                <w:color w:val="000000" w:themeColor="text1"/>
                <w:sz w:val="20"/>
                <w:szCs w:val="20"/>
                <w:lang w:eastAsia="fi-FI"/>
              </w:rPr>
            </w:pPr>
          </w:p>
          <w:p w:rsidR="00441D74" w:rsidRDefault="00004AE6" w:rsidP="00816A55">
            <w:pPr>
              <w:rPr>
                <w:rFonts w:eastAsia="MS Mincho"/>
                <w:b w:val="0"/>
                <w:color w:val="000000" w:themeColor="text1"/>
                <w:sz w:val="20"/>
                <w:szCs w:val="20"/>
                <w:lang w:eastAsia="fi-FI"/>
              </w:rPr>
            </w:pPr>
            <w:r>
              <w:rPr>
                <w:rFonts w:eastAsia="MS Mincho"/>
                <w:sz w:val="20"/>
                <w:szCs w:val="20"/>
                <w:lang w:eastAsia="fi-FI"/>
              </w:rPr>
              <w:t>Regional P</w:t>
            </w:r>
            <w:r w:rsidR="00441D74">
              <w:rPr>
                <w:rFonts w:eastAsia="MS Mincho"/>
                <w:sz w:val="20"/>
                <w:szCs w:val="20"/>
                <w:lang w:eastAsia="fi-FI"/>
              </w:rPr>
              <w:t>artnersh</w:t>
            </w:r>
            <w:r>
              <w:rPr>
                <w:rFonts w:eastAsia="MS Mincho"/>
                <w:sz w:val="20"/>
                <w:szCs w:val="20"/>
                <w:lang w:eastAsia="fi-FI"/>
              </w:rPr>
              <w:t>ips and Career C</w:t>
            </w:r>
            <w:r w:rsidR="00441D74" w:rsidRPr="00CF3B1B">
              <w:rPr>
                <w:rFonts w:eastAsia="MS Mincho"/>
                <w:sz w:val="20"/>
                <w:szCs w:val="20"/>
                <w:lang w:eastAsia="fi-FI"/>
              </w:rPr>
              <w:t>entres:</w:t>
            </w:r>
            <w:r w:rsidR="00441D74">
              <w:rPr>
                <w:rFonts w:eastAsia="MS Mincho"/>
                <w:b w:val="0"/>
                <w:sz w:val="20"/>
                <w:szCs w:val="20"/>
                <w:lang w:eastAsia="fi-FI"/>
              </w:rPr>
              <w:br/>
              <w:t>Since 2005 the 19 counties in Norway have</w:t>
            </w:r>
            <w:r w:rsidR="00441D74" w:rsidRPr="00F77A7B">
              <w:rPr>
                <w:rFonts w:eastAsia="MS Mincho"/>
                <w:b w:val="0"/>
                <w:sz w:val="20"/>
                <w:szCs w:val="20"/>
                <w:lang w:eastAsia="fi-FI"/>
              </w:rPr>
              <w:t xml:space="preserve"> established regional partnerships for career guidance between local stakeholders. </w:t>
            </w:r>
            <w:r w:rsidR="00441D74" w:rsidRPr="00F77A7B">
              <w:rPr>
                <w:b w:val="0"/>
                <w:sz w:val="20"/>
                <w:szCs w:val="20"/>
                <w:lang w:val="en"/>
              </w:rPr>
              <w:t>These partne</w:t>
            </w:r>
            <w:r>
              <w:rPr>
                <w:b w:val="0"/>
                <w:sz w:val="20"/>
                <w:szCs w:val="20"/>
                <w:lang w:val="en"/>
              </w:rPr>
              <w:t>rships are organised in different ways</w:t>
            </w:r>
            <w:r w:rsidR="00441D74" w:rsidRPr="00F77A7B">
              <w:rPr>
                <w:b w:val="0"/>
                <w:sz w:val="20"/>
                <w:szCs w:val="20"/>
                <w:lang w:val="en"/>
              </w:rPr>
              <w:t>, but they are all aimed at strengthening the cooperation between providers of career guidance services and rel</w:t>
            </w:r>
            <w:r>
              <w:rPr>
                <w:b w:val="0"/>
                <w:sz w:val="20"/>
                <w:szCs w:val="20"/>
                <w:lang w:val="en"/>
              </w:rPr>
              <w:t>evant stakeholders. The goal of a partnership</w:t>
            </w:r>
            <w:r w:rsidR="00441D74" w:rsidRPr="00F77A7B">
              <w:rPr>
                <w:b w:val="0"/>
                <w:sz w:val="20"/>
                <w:szCs w:val="20"/>
                <w:lang w:val="en"/>
              </w:rPr>
              <w:t xml:space="preserve"> is to strengthen the quality and widen the access to </w:t>
            </w:r>
            <w:r w:rsidR="00441D74">
              <w:rPr>
                <w:b w:val="0"/>
                <w:sz w:val="20"/>
                <w:szCs w:val="20"/>
                <w:lang w:val="en"/>
              </w:rPr>
              <w:t xml:space="preserve">career </w:t>
            </w:r>
            <w:r w:rsidR="00441D74" w:rsidRPr="00F77A7B">
              <w:rPr>
                <w:b w:val="0"/>
                <w:sz w:val="20"/>
                <w:szCs w:val="20"/>
                <w:lang w:val="en"/>
              </w:rPr>
              <w:t xml:space="preserve">guidance. Most of the partnerships have established </w:t>
            </w:r>
            <w:r>
              <w:rPr>
                <w:sz w:val="20"/>
                <w:szCs w:val="20"/>
                <w:lang w:val="en"/>
              </w:rPr>
              <w:t>Regional Career Centre</w:t>
            </w:r>
            <w:r w:rsidR="00441D74" w:rsidRPr="006D28D2">
              <w:rPr>
                <w:sz w:val="20"/>
                <w:szCs w:val="20"/>
                <w:lang w:val="en"/>
              </w:rPr>
              <w:t>s</w:t>
            </w:r>
            <w:r w:rsidR="00441D74">
              <w:rPr>
                <w:b w:val="0"/>
                <w:sz w:val="20"/>
                <w:szCs w:val="20"/>
                <w:lang w:val="en"/>
              </w:rPr>
              <w:t xml:space="preserve"> where guidance services are offered </w:t>
            </w:r>
            <w:r>
              <w:rPr>
                <w:b w:val="0"/>
                <w:sz w:val="20"/>
                <w:szCs w:val="20"/>
                <w:lang w:val="en"/>
              </w:rPr>
              <w:t xml:space="preserve">to </w:t>
            </w:r>
            <w:r w:rsidR="00441D74" w:rsidRPr="00F77A7B">
              <w:rPr>
                <w:b w:val="0"/>
                <w:sz w:val="20"/>
                <w:szCs w:val="20"/>
                <w:lang w:val="en"/>
              </w:rPr>
              <w:t>adults with regard to both education and work. The centres also play an important part in strengthening the quality and professionalism of the counselling offered in schools and in the</w:t>
            </w:r>
            <w:r>
              <w:rPr>
                <w:b w:val="0"/>
                <w:sz w:val="20"/>
                <w:szCs w:val="20"/>
                <w:lang w:val="en"/>
              </w:rPr>
              <w:t xml:space="preserve"> Public Employment Services (</w:t>
            </w:r>
            <w:r w:rsidR="00441D74" w:rsidRPr="00F77A7B">
              <w:rPr>
                <w:b w:val="0"/>
                <w:sz w:val="20"/>
                <w:szCs w:val="20"/>
                <w:lang w:val="en"/>
              </w:rPr>
              <w:t>PES</w:t>
            </w:r>
            <w:r>
              <w:rPr>
                <w:b w:val="0"/>
                <w:sz w:val="20"/>
                <w:szCs w:val="20"/>
                <w:lang w:val="en"/>
              </w:rPr>
              <w:t>)</w:t>
            </w:r>
            <w:r w:rsidR="00441D74" w:rsidRPr="00F77A7B">
              <w:rPr>
                <w:b w:val="0"/>
                <w:sz w:val="20"/>
                <w:szCs w:val="20"/>
                <w:lang w:val="en"/>
              </w:rPr>
              <w:t>.</w:t>
            </w:r>
          </w:p>
          <w:p w:rsidR="00441D74" w:rsidRPr="00CF3B1B" w:rsidRDefault="00441D74" w:rsidP="00816A55">
            <w:pPr>
              <w:rPr>
                <w:rFonts w:eastAsia="MS Mincho"/>
                <w:b w:val="0"/>
                <w:color w:val="000000" w:themeColor="text1"/>
                <w:sz w:val="20"/>
                <w:szCs w:val="20"/>
                <w:lang w:eastAsia="fi-FI"/>
              </w:rPr>
            </w:pPr>
          </w:p>
          <w:p w:rsidR="00CF3B1B" w:rsidRDefault="002D687E" w:rsidP="00816A55">
            <w:pPr>
              <w:rPr>
                <w:rFonts w:eastAsia="MS Mincho"/>
                <w:b w:val="0"/>
                <w:sz w:val="20"/>
                <w:szCs w:val="20"/>
                <w:lang w:eastAsia="fi-FI"/>
              </w:rPr>
            </w:pPr>
            <w:r>
              <w:rPr>
                <w:rFonts w:eastAsia="MS Mincho"/>
                <w:sz w:val="20"/>
                <w:szCs w:val="20"/>
                <w:lang w:eastAsia="fi-FI"/>
              </w:rPr>
              <w:t>P</w:t>
            </w:r>
            <w:r w:rsidR="00004AE6">
              <w:rPr>
                <w:rFonts w:eastAsia="MS Mincho"/>
                <w:sz w:val="20"/>
                <w:szCs w:val="20"/>
                <w:lang w:eastAsia="fi-FI"/>
              </w:rPr>
              <w:t>ublic E</w:t>
            </w:r>
            <w:r w:rsidR="00F77A7B" w:rsidRPr="002D687E">
              <w:rPr>
                <w:rFonts w:eastAsia="MS Mincho"/>
                <w:sz w:val="20"/>
                <w:szCs w:val="20"/>
                <w:lang w:eastAsia="fi-FI"/>
              </w:rPr>
              <w:t xml:space="preserve">mployment </w:t>
            </w:r>
            <w:r w:rsidR="00004AE6">
              <w:rPr>
                <w:rFonts w:eastAsia="MS Mincho"/>
                <w:sz w:val="20"/>
                <w:szCs w:val="20"/>
                <w:lang w:eastAsia="fi-FI"/>
              </w:rPr>
              <w:t>S</w:t>
            </w:r>
            <w:r w:rsidR="00F77A7B" w:rsidRPr="00441D74">
              <w:rPr>
                <w:rFonts w:eastAsia="MS Mincho"/>
                <w:sz w:val="20"/>
                <w:szCs w:val="20"/>
                <w:lang w:eastAsia="fi-FI"/>
              </w:rPr>
              <w:t>ervices (Nav)</w:t>
            </w:r>
            <w:r w:rsidR="00441D74">
              <w:rPr>
                <w:rFonts w:eastAsia="MS Mincho"/>
                <w:b w:val="0"/>
                <w:sz w:val="20"/>
                <w:szCs w:val="20"/>
                <w:lang w:eastAsia="fi-FI"/>
              </w:rPr>
              <w:t>:</w:t>
            </w:r>
          </w:p>
          <w:p w:rsidR="00441D74" w:rsidRPr="00441D74" w:rsidRDefault="00441D74" w:rsidP="00816A55">
            <w:pPr>
              <w:rPr>
                <w:rFonts w:eastAsia="MS Mincho"/>
                <w:b w:val="0"/>
                <w:sz w:val="20"/>
                <w:szCs w:val="20"/>
                <w:lang w:eastAsia="fi-FI"/>
              </w:rPr>
            </w:pPr>
            <w:r w:rsidRPr="00441D74">
              <w:rPr>
                <w:rFonts w:eastAsia="MS Mincho"/>
                <w:b w:val="0"/>
                <w:sz w:val="20"/>
                <w:szCs w:val="20"/>
                <w:lang w:eastAsia="fi-FI"/>
              </w:rPr>
              <w:t>Every citizen applying</w:t>
            </w:r>
            <w:r>
              <w:rPr>
                <w:rFonts w:eastAsia="MS Mincho"/>
                <w:b w:val="0"/>
                <w:sz w:val="20"/>
                <w:szCs w:val="20"/>
                <w:lang w:eastAsia="fi-FI"/>
              </w:rPr>
              <w:t xml:space="preserve"> for services from Nav</w:t>
            </w:r>
            <w:r w:rsidRPr="00441D74">
              <w:rPr>
                <w:rFonts w:eastAsia="MS Mincho"/>
                <w:b w:val="0"/>
                <w:sz w:val="20"/>
                <w:szCs w:val="20"/>
                <w:lang w:eastAsia="fi-FI"/>
              </w:rPr>
              <w:t xml:space="preserve"> has the right to have their needs assessed </w:t>
            </w:r>
            <w:r w:rsidR="00004AE6">
              <w:rPr>
                <w:rFonts w:eastAsia="MS Mincho"/>
                <w:b w:val="0"/>
                <w:sz w:val="20"/>
                <w:szCs w:val="20"/>
                <w:lang w:eastAsia="fi-FI"/>
              </w:rPr>
              <w:t>for services to assist them to enter or re-enter</w:t>
            </w:r>
            <w:r w:rsidRPr="00441D74">
              <w:rPr>
                <w:rFonts w:eastAsia="MS Mincho"/>
                <w:b w:val="0"/>
                <w:sz w:val="20"/>
                <w:szCs w:val="20"/>
                <w:lang w:eastAsia="fi-FI"/>
              </w:rPr>
              <w:t xml:space="preserve"> the labour market. Focus on social- and work inclusion and increased emphasize on using ordinary working life as training and outplacement arena is currently ch</w:t>
            </w:r>
            <w:r w:rsidR="00004AE6">
              <w:rPr>
                <w:rFonts w:eastAsia="MS Mincho"/>
                <w:b w:val="0"/>
                <w:sz w:val="20"/>
                <w:szCs w:val="20"/>
                <w:lang w:eastAsia="fi-FI"/>
              </w:rPr>
              <w:t>anging the priorities and tools of active labour market measures</w:t>
            </w:r>
            <w:r w:rsidRPr="00441D74">
              <w:rPr>
                <w:rFonts w:eastAsia="MS Mincho"/>
                <w:b w:val="0"/>
                <w:sz w:val="20"/>
                <w:szCs w:val="20"/>
                <w:lang w:eastAsia="fi-FI"/>
              </w:rPr>
              <w:t xml:space="preserve">. </w:t>
            </w:r>
          </w:p>
          <w:p w:rsidR="00441D74" w:rsidRPr="00441D74" w:rsidRDefault="00441D74" w:rsidP="00816A55">
            <w:pPr>
              <w:rPr>
                <w:rFonts w:eastAsia="MS Mincho"/>
                <w:b w:val="0"/>
                <w:sz w:val="20"/>
                <w:szCs w:val="20"/>
                <w:lang w:eastAsia="fi-FI"/>
              </w:rPr>
            </w:pPr>
          </w:p>
          <w:p w:rsidR="00F77A7B" w:rsidRPr="00441D74" w:rsidRDefault="00441D74" w:rsidP="00816A55">
            <w:pPr>
              <w:rPr>
                <w:rFonts w:eastAsia="MS Mincho"/>
                <w:b w:val="0"/>
                <w:sz w:val="20"/>
                <w:szCs w:val="20"/>
                <w:lang w:eastAsia="fi-FI"/>
              </w:rPr>
            </w:pPr>
            <w:r>
              <w:rPr>
                <w:rFonts w:eastAsia="MS Mincho"/>
                <w:b w:val="0"/>
                <w:sz w:val="20"/>
                <w:szCs w:val="20"/>
                <w:lang w:eastAsia="fi-FI"/>
              </w:rPr>
              <w:t>A</w:t>
            </w:r>
            <w:r w:rsidRPr="00441D74">
              <w:rPr>
                <w:rFonts w:eastAsia="MS Mincho"/>
                <w:b w:val="0"/>
                <w:sz w:val="20"/>
                <w:szCs w:val="20"/>
                <w:lang w:eastAsia="fi-FI"/>
              </w:rPr>
              <w:t xml:space="preserve"> strong focus has </w:t>
            </w:r>
            <w:r>
              <w:rPr>
                <w:rFonts w:eastAsia="MS Mincho"/>
                <w:b w:val="0"/>
                <w:sz w:val="20"/>
                <w:szCs w:val="20"/>
                <w:lang w:eastAsia="fi-FI"/>
              </w:rPr>
              <w:t xml:space="preserve">recently </w:t>
            </w:r>
            <w:r w:rsidRPr="00441D74">
              <w:rPr>
                <w:rFonts w:eastAsia="MS Mincho"/>
                <w:b w:val="0"/>
                <w:sz w:val="20"/>
                <w:szCs w:val="20"/>
                <w:lang w:eastAsia="fi-FI"/>
              </w:rPr>
              <w:t>been put on improving staff competence and on new digital solutions for future comm</w:t>
            </w:r>
            <w:r>
              <w:rPr>
                <w:rFonts w:eastAsia="MS Mincho"/>
                <w:b w:val="0"/>
                <w:sz w:val="20"/>
                <w:szCs w:val="20"/>
                <w:lang w:eastAsia="fi-FI"/>
              </w:rPr>
              <w:t>unication between a user and Nav</w:t>
            </w:r>
            <w:r w:rsidR="000E4B7B">
              <w:rPr>
                <w:rFonts w:eastAsia="MS Mincho"/>
                <w:b w:val="0"/>
                <w:sz w:val="20"/>
                <w:szCs w:val="20"/>
                <w:lang w:eastAsia="fi-FI"/>
              </w:rPr>
              <w:t>:</w:t>
            </w:r>
            <w:r w:rsidRPr="00441D74">
              <w:rPr>
                <w:rFonts w:eastAsia="MS Mincho"/>
                <w:b w:val="0"/>
                <w:sz w:val="20"/>
                <w:szCs w:val="20"/>
                <w:lang w:eastAsia="fi-FI"/>
              </w:rPr>
              <w:t xml:space="preserve"> </w:t>
            </w:r>
            <w:r>
              <w:rPr>
                <w:rFonts w:eastAsia="MS Mincho"/>
                <w:b w:val="0"/>
                <w:sz w:val="20"/>
                <w:szCs w:val="20"/>
                <w:lang w:eastAsia="fi-FI"/>
              </w:rPr>
              <w:br/>
            </w:r>
            <w:r w:rsidRPr="00441D74">
              <w:rPr>
                <w:rFonts w:eastAsia="MS Mincho"/>
                <w:b w:val="0"/>
                <w:sz w:val="20"/>
                <w:szCs w:val="20"/>
                <w:u w:val="single"/>
                <w:lang w:eastAsia="fi-FI"/>
              </w:rPr>
              <w:t>Staff competence:</w:t>
            </w:r>
            <w:r w:rsidRPr="00441D74">
              <w:rPr>
                <w:rFonts w:eastAsia="MS Mincho"/>
                <w:b w:val="0"/>
                <w:sz w:val="20"/>
                <w:szCs w:val="20"/>
                <w:lang w:eastAsia="fi-FI"/>
              </w:rPr>
              <w:t xml:space="preserve"> Platforms of leadership development, labour market and guidance</w:t>
            </w:r>
            <w:r w:rsidR="00004AE6">
              <w:rPr>
                <w:rFonts w:eastAsia="MS Mincho"/>
                <w:b w:val="0"/>
                <w:sz w:val="20"/>
                <w:szCs w:val="20"/>
                <w:lang w:eastAsia="fi-FI"/>
              </w:rPr>
              <w:t xml:space="preserve"> have been developed in order</w:t>
            </w:r>
            <w:r w:rsidRPr="00441D74">
              <w:rPr>
                <w:rFonts w:eastAsia="MS Mincho"/>
                <w:b w:val="0"/>
                <w:sz w:val="20"/>
                <w:szCs w:val="20"/>
                <w:lang w:eastAsia="fi-FI"/>
              </w:rPr>
              <w:t xml:space="preserve"> </w:t>
            </w:r>
            <w:r w:rsidR="000E4B7B">
              <w:rPr>
                <w:rFonts w:eastAsia="MS Mincho"/>
                <w:b w:val="0"/>
                <w:sz w:val="20"/>
                <w:szCs w:val="20"/>
                <w:lang w:eastAsia="fi-FI"/>
              </w:rPr>
              <w:t xml:space="preserve">to </w:t>
            </w:r>
            <w:r w:rsidRPr="00441D74">
              <w:rPr>
                <w:rFonts w:eastAsia="MS Mincho"/>
                <w:b w:val="0"/>
                <w:sz w:val="20"/>
                <w:szCs w:val="20"/>
                <w:lang w:eastAsia="fi-FI"/>
              </w:rPr>
              <w:t>fram</w:t>
            </w:r>
            <w:r w:rsidR="000E4B7B">
              <w:rPr>
                <w:rFonts w:eastAsia="MS Mincho"/>
                <w:b w:val="0"/>
                <w:sz w:val="20"/>
                <w:szCs w:val="20"/>
                <w:lang w:eastAsia="fi-FI"/>
              </w:rPr>
              <w:t>e</w:t>
            </w:r>
            <w:r w:rsidRPr="00441D74">
              <w:rPr>
                <w:rFonts w:eastAsia="MS Mincho"/>
                <w:b w:val="0"/>
                <w:sz w:val="20"/>
                <w:szCs w:val="20"/>
                <w:lang w:eastAsia="fi-FI"/>
              </w:rPr>
              <w:t xml:space="preserve"> basic required competence and designing training arenas</w:t>
            </w:r>
            <w:r w:rsidR="00004AE6">
              <w:rPr>
                <w:rFonts w:eastAsia="MS Mincho"/>
                <w:b w:val="0"/>
                <w:sz w:val="20"/>
                <w:szCs w:val="20"/>
                <w:lang w:eastAsia="fi-FI"/>
              </w:rPr>
              <w:t>.</w:t>
            </w:r>
            <w:r w:rsidRPr="00441D74">
              <w:rPr>
                <w:rFonts w:eastAsia="MS Mincho"/>
                <w:b w:val="0"/>
                <w:sz w:val="20"/>
                <w:szCs w:val="20"/>
                <w:lang w:eastAsia="fi-FI"/>
              </w:rPr>
              <w:t xml:space="preserve"> The g</w:t>
            </w:r>
            <w:r>
              <w:rPr>
                <w:rFonts w:eastAsia="MS Mincho"/>
                <w:b w:val="0"/>
                <w:sz w:val="20"/>
                <w:szCs w:val="20"/>
                <w:lang w:eastAsia="fi-FI"/>
              </w:rPr>
              <w:t xml:space="preserve">oal of the </w:t>
            </w:r>
            <w:r w:rsidRPr="000E4B7B">
              <w:rPr>
                <w:rFonts w:eastAsia="MS Mincho"/>
                <w:b w:val="0"/>
                <w:i/>
                <w:sz w:val="20"/>
                <w:szCs w:val="20"/>
                <w:lang w:eastAsia="fi-FI"/>
              </w:rPr>
              <w:t>Guidance Platform</w:t>
            </w:r>
            <w:r>
              <w:rPr>
                <w:rFonts w:eastAsia="MS Mincho"/>
                <w:b w:val="0"/>
                <w:sz w:val="20"/>
                <w:szCs w:val="20"/>
                <w:lang w:eastAsia="fi-FI"/>
              </w:rPr>
              <w:t xml:space="preserve"> is</w:t>
            </w:r>
            <w:r w:rsidR="00C25D07">
              <w:rPr>
                <w:rFonts w:eastAsia="MS Mincho"/>
                <w:b w:val="0"/>
                <w:sz w:val="20"/>
                <w:szCs w:val="20"/>
                <w:lang w:eastAsia="fi-FI"/>
              </w:rPr>
              <w:t xml:space="preserve"> to improve the</w:t>
            </w:r>
            <w:r w:rsidRPr="00441D74">
              <w:rPr>
                <w:rFonts w:eastAsia="MS Mincho"/>
                <w:b w:val="0"/>
                <w:sz w:val="20"/>
                <w:szCs w:val="20"/>
                <w:lang w:eastAsia="fi-FI"/>
              </w:rPr>
              <w:t xml:space="preserve"> skills of guidance</w:t>
            </w:r>
            <w:r w:rsidR="00C25D07">
              <w:rPr>
                <w:rFonts w:eastAsia="MS Mincho"/>
                <w:b w:val="0"/>
                <w:sz w:val="20"/>
                <w:szCs w:val="20"/>
                <w:lang w:eastAsia="fi-FI"/>
              </w:rPr>
              <w:t xml:space="preserve"> practitioners</w:t>
            </w:r>
            <w:r w:rsidRPr="00441D74">
              <w:rPr>
                <w:rFonts w:eastAsia="MS Mincho"/>
                <w:b w:val="0"/>
                <w:sz w:val="20"/>
                <w:szCs w:val="20"/>
                <w:lang w:eastAsia="fi-FI"/>
              </w:rPr>
              <w:t xml:space="preserve"> and </w:t>
            </w:r>
            <w:r w:rsidR="00C25D07">
              <w:rPr>
                <w:rFonts w:eastAsia="MS Mincho"/>
                <w:b w:val="0"/>
                <w:sz w:val="20"/>
                <w:szCs w:val="20"/>
                <w:lang w:eastAsia="fi-FI"/>
              </w:rPr>
              <w:t xml:space="preserve">their </w:t>
            </w:r>
            <w:r w:rsidRPr="00441D74">
              <w:rPr>
                <w:rFonts w:eastAsia="MS Mincho"/>
                <w:b w:val="0"/>
                <w:sz w:val="20"/>
                <w:szCs w:val="20"/>
                <w:lang w:eastAsia="fi-FI"/>
              </w:rPr>
              <w:t>interaction</w:t>
            </w:r>
            <w:r w:rsidR="00C25D07">
              <w:rPr>
                <w:rFonts w:eastAsia="MS Mincho"/>
                <w:b w:val="0"/>
                <w:sz w:val="20"/>
                <w:szCs w:val="20"/>
                <w:lang w:eastAsia="fi-FI"/>
              </w:rPr>
              <w:t>s</w:t>
            </w:r>
            <w:r w:rsidRPr="00441D74">
              <w:rPr>
                <w:rFonts w:eastAsia="MS Mincho"/>
                <w:b w:val="0"/>
                <w:sz w:val="20"/>
                <w:szCs w:val="20"/>
                <w:lang w:eastAsia="fi-FI"/>
              </w:rPr>
              <w:t xml:space="preserve"> with users, employers and collaborative actors</w:t>
            </w:r>
            <w:r>
              <w:rPr>
                <w:rFonts w:eastAsia="MS Mincho"/>
                <w:b w:val="0"/>
                <w:sz w:val="20"/>
                <w:szCs w:val="20"/>
                <w:lang w:eastAsia="fi-FI"/>
              </w:rPr>
              <w:t xml:space="preserve"> </w:t>
            </w:r>
            <w:r w:rsidR="00C25D07">
              <w:rPr>
                <w:rFonts w:eastAsia="MS Mincho"/>
                <w:b w:val="0"/>
                <w:sz w:val="20"/>
                <w:szCs w:val="20"/>
                <w:lang w:eastAsia="fi-FI"/>
              </w:rPr>
              <w:t>through regular</w:t>
            </w:r>
            <w:r w:rsidRPr="00441D74">
              <w:rPr>
                <w:rFonts w:eastAsia="MS Mincho"/>
                <w:b w:val="0"/>
                <w:sz w:val="20"/>
                <w:szCs w:val="20"/>
                <w:lang w:eastAsia="fi-FI"/>
              </w:rPr>
              <w:t xml:space="preserve"> twinning and colleague training method</w:t>
            </w:r>
            <w:r w:rsidR="00C25D07">
              <w:rPr>
                <w:rFonts w:eastAsia="MS Mincho"/>
                <w:b w:val="0"/>
                <w:sz w:val="20"/>
                <w:szCs w:val="20"/>
                <w:lang w:eastAsia="fi-FI"/>
              </w:rPr>
              <w:t>s</w:t>
            </w:r>
            <w:r w:rsidRPr="00441D74">
              <w:rPr>
                <w:rFonts w:eastAsia="MS Mincho"/>
                <w:b w:val="0"/>
                <w:sz w:val="20"/>
                <w:szCs w:val="20"/>
                <w:lang w:eastAsia="fi-FI"/>
              </w:rPr>
              <w:t xml:space="preserve">. </w:t>
            </w:r>
            <w:r w:rsidR="000E4B7B">
              <w:rPr>
                <w:rFonts w:eastAsia="MS Mincho"/>
                <w:b w:val="0"/>
                <w:sz w:val="20"/>
                <w:szCs w:val="20"/>
                <w:lang w:eastAsia="fi-FI"/>
              </w:rPr>
              <w:br/>
            </w:r>
            <w:r w:rsidRPr="00441D74">
              <w:rPr>
                <w:rFonts w:eastAsia="MS Mincho"/>
                <w:b w:val="0"/>
                <w:sz w:val="20"/>
                <w:szCs w:val="20"/>
                <w:u w:val="single"/>
                <w:lang w:eastAsia="fi-FI"/>
              </w:rPr>
              <w:lastRenderedPageBreak/>
              <w:t>The Channel Strategy</w:t>
            </w:r>
            <w:r>
              <w:rPr>
                <w:rFonts w:eastAsia="MS Mincho"/>
                <w:b w:val="0"/>
                <w:sz w:val="20"/>
                <w:szCs w:val="20"/>
                <w:lang w:eastAsia="fi-FI"/>
              </w:rPr>
              <w:t>: the goal</w:t>
            </w:r>
            <w:r w:rsidRPr="00441D74">
              <w:rPr>
                <w:rFonts w:eastAsia="MS Mincho"/>
                <w:b w:val="0"/>
                <w:sz w:val="20"/>
                <w:szCs w:val="20"/>
                <w:lang w:eastAsia="fi-FI"/>
              </w:rPr>
              <w:t xml:space="preserve"> is to provide extensive differentiated digital solutions</w:t>
            </w:r>
            <w:r w:rsidR="00C25D07">
              <w:rPr>
                <w:rFonts w:eastAsia="MS Mincho"/>
                <w:b w:val="0"/>
                <w:sz w:val="20"/>
                <w:szCs w:val="20"/>
                <w:lang w:eastAsia="fi-FI"/>
              </w:rPr>
              <w:t>,</w:t>
            </w:r>
            <w:r w:rsidRPr="00441D74">
              <w:rPr>
                <w:rFonts w:eastAsia="MS Mincho"/>
                <w:b w:val="0"/>
                <w:sz w:val="20"/>
                <w:szCs w:val="20"/>
                <w:lang w:eastAsia="fi-FI"/>
              </w:rPr>
              <w:t xml:space="preserve"> enabling im</w:t>
            </w:r>
            <w:r w:rsidR="000E4B7B">
              <w:rPr>
                <w:rFonts w:eastAsia="MS Mincho"/>
                <w:b w:val="0"/>
                <w:sz w:val="20"/>
                <w:szCs w:val="20"/>
                <w:lang w:eastAsia="fi-FI"/>
              </w:rPr>
              <w:t>proved communication, automated and self-services.</w:t>
            </w:r>
            <w:r w:rsidRPr="00441D74">
              <w:rPr>
                <w:rFonts w:eastAsia="MS Mincho"/>
                <w:b w:val="0"/>
                <w:sz w:val="20"/>
                <w:szCs w:val="20"/>
                <w:lang w:eastAsia="fi-FI"/>
              </w:rPr>
              <w:t xml:space="preserve"> Technical solution</w:t>
            </w:r>
            <w:r w:rsidR="00C25D07">
              <w:rPr>
                <w:rFonts w:eastAsia="MS Mincho"/>
                <w:b w:val="0"/>
                <w:sz w:val="20"/>
                <w:szCs w:val="20"/>
                <w:lang w:eastAsia="fi-FI"/>
              </w:rPr>
              <w:t>s will be developed to enhance and empower</w:t>
            </w:r>
            <w:r w:rsidRPr="00441D74">
              <w:rPr>
                <w:rFonts w:eastAsia="MS Mincho"/>
                <w:b w:val="0"/>
                <w:sz w:val="20"/>
                <w:szCs w:val="20"/>
                <w:lang w:eastAsia="fi-FI"/>
              </w:rPr>
              <w:t xml:space="preserve"> the users </w:t>
            </w:r>
            <w:r w:rsidR="00C25D07">
              <w:rPr>
                <w:rFonts w:eastAsia="MS Mincho"/>
                <w:b w:val="0"/>
                <w:sz w:val="20"/>
                <w:szCs w:val="20"/>
                <w:lang w:eastAsia="fi-FI"/>
              </w:rPr>
              <w:t>to influence</w:t>
            </w:r>
            <w:r w:rsidRPr="00441D74">
              <w:rPr>
                <w:rFonts w:eastAsia="MS Mincho"/>
                <w:b w:val="0"/>
                <w:sz w:val="20"/>
                <w:szCs w:val="20"/>
                <w:lang w:eastAsia="fi-FI"/>
              </w:rPr>
              <w:t xml:space="preserve"> </w:t>
            </w:r>
            <w:r w:rsidR="000E4B7B">
              <w:rPr>
                <w:rFonts w:eastAsia="MS Mincho"/>
                <w:b w:val="0"/>
                <w:sz w:val="20"/>
                <w:szCs w:val="20"/>
                <w:lang w:eastAsia="fi-FI"/>
              </w:rPr>
              <w:t>his/</w:t>
            </w:r>
            <w:r w:rsidRPr="00441D74">
              <w:rPr>
                <w:rFonts w:eastAsia="MS Mincho"/>
                <w:b w:val="0"/>
                <w:sz w:val="20"/>
                <w:szCs w:val="20"/>
                <w:lang w:eastAsia="fi-FI"/>
              </w:rPr>
              <w:t xml:space="preserve">her situation, </w:t>
            </w:r>
            <w:r w:rsidR="00C25D07">
              <w:rPr>
                <w:rFonts w:eastAsia="MS Mincho"/>
                <w:b w:val="0"/>
                <w:sz w:val="20"/>
                <w:szCs w:val="20"/>
                <w:lang w:eastAsia="fi-FI"/>
              </w:rPr>
              <w:t>to identify their needs, and how these can</w:t>
            </w:r>
            <w:r w:rsidR="000E4B7B">
              <w:rPr>
                <w:rFonts w:eastAsia="MS Mincho"/>
                <w:b w:val="0"/>
                <w:sz w:val="20"/>
                <w:szCs w:val="20"/>
                <w:lang w:eastAsia="fi-FI"/>
              </w:rPr>
              <w:t xml:space="preserve"> be met by the Nav </w:t>
            </w:r>
            <w:r w:rsidRPr="00441D74">
              <w:rPr>
                <w:rFonts w:eastAsia="MS Mincho"/>
                <w:b w:val="0"/>
                <w:sz w:val="20"/>
                <w:szCs w:val="20"/>
                <w:lang w:eastAsia="fi-FI"/>
              </w:rPr>
              <w:t>counsellor. The user will choose</w:t>
            </w:r>
            <w:r w:rsidR="000E4B7B">
              <w:rPr>
                <w:rFonts w:eastAsia="MS Mincho"/>
                <w:b w:val="0"/>
                <w:sz w:val="20"/>
                <w:szCs w:val="20"/>
                <w:lang w:eastAsia="fi-FI"/>
              </w:rPr>
              <w:t xml:space="preserve"> </w:t>
            </w:r>
            <w:r w:rsidR="00C25D07">
              <w:rPr>
                <w:rFonts w:eastAsia="MS Mincho"/>
                <w:b w:val="0"/>
                <w:sz w:val="20"/>
                <w:szCs w:val="20"/>
                <w:lang w:eastAsia="fi-FI"/>
              </w:rPr>
              <w:t>how to interact with Nav</w:t>
            </w:r>
            <w:r w:rsidR="000E4B7B">
              <w:rPr>
                <w:rFonts w:eastAsia="MS Mincho"/>
                <w:b w:val="0"/>
                <w:sz w:val="20"/>
                <w:szCs w:val="20"/>
                <w:lang w:eastAsia="fi-FI"/>
              </w:rPr>
              <w:t xml:space="preserve"> (</w:t>
            </w:r>
            <w:r w:rsidRPr="00441D74">
              <w:rPr>
                <w:rFonts w:eastAsia="MS Mincho"/>
                <w:b w:val="0"/>
                <w:sz w:val="20"/>
                <w:szCs w:val="20"/>
                <w:lang w:eastAsia="fi-FI"/>
              </w:rPr>
              <w:t>in which way/channel</w:t>
            </w:r>
            <w:r w:rsidR="000E4B7B">
              <w:rPr>
                <w:rFonts w:eastAsia="MS Mincho"/>
                <w:b w:val="0"/>
                <w:sz w:val="20"/>
                <w:szCs w:val="20"/>
                <w:lang w:eastAsia="fi-FI"/>
              </w:rPr>
              <w:t>)</w:t>
            </w:r>
            <w:r>
              <w:rPr>
                <w:rFonts w:eastAsia="MS Mincho"/>
                <w:b w:val="0"/>
                <w:sz w:val="20"/>
                <w:szCs w:val="20"/>
                <w:lang w:eastAsia="fi-FI"/>
              </w:rPr>
              <w:t>.</w:t>
            </w:r>
          </w:p>
        </w:tc>
      </w:tr>
      <w:tr w:rsidR="00F77A7B" w:rsidRPr="00453E74" w:rsidTr="00F77A7B">
        <w:trPr>
          <w:trHeight w:val="1152"/>
        </w:trPr>
        <w:tc>
          <w:tcPr>
            <w:tcW w:w="2160" w:type="dxa"/>
            <w:vAlign w:val="center"/>
          </w:tcPr>
          <w:p w:rsidR="00F77A7B" w:rsidRDefault="00CF3B1B" w:rsidP="00562928">
            <w:pPr>
              <w:rPr>
                <w:rFonts w:ascii="Arial" w:hAnsi="Arial" w:cs="Arial"/>
                <w:b/>
                <w:color w:val="000000"/>
                <w:sz w:val="20"/>
                <w:szCs w:val="20"/>
                <w:lang w:val="en-CA"/>
              </w:rPr>
            </w:pPr>
            <w:r>
              <w:rPr>
                <w:rFonts w:ascii="Arial" w:hAnsi="Arial" w:cs="Arial"/>
                <w:b/>
                <w:color w:val="000000"/>
                <w:sz w:val="20"/>
                <w:szCs w:val="20"/>
                <w:lang w:val="en-CA"/>
              </w:rPr>
              <w:lastRenderedPageBreak/>
              <w:t>National coordination of guidance services</w:t>
            </w:r>
          </w:p>
          <w:p w:rsidR="00F77A7B" w:rsidRDefault="00F77A7B" w:rsidP="00562928">
            <w:pPr>
              <w:rPr>
                <w:rFonts w:ascii="Arial" w:hAnsi="Arial" w:cs="Arial"/>
                <w:b/>
                <w:color w:val="000000"/>
                <w:sz w:val="20"/>
                <w:szCs w:val="20"/>
                <w:lang w:val="en-CA"/>
              </w:rPr>
            </w:pPr>
          </w:p>
          <w:p w:rsidR="00F77A7B" w:rsidRPr="00453E74" w:rsidRDefault="00F77A7B" w:rsidP="00562928">
            <w:pPr>
              <w:rPr>
                <w:rFonts w:ascii="Arial" w:hAnsi="Arial" w:cs="Arial"/>
                <w:b/>
                <w:sz w:val="20"/>
                <w:szCs w:val="20"/>
                <w:lang w:val="en-CA"/>
              </w:rPr>
            </w:pPr>
          </w:p>
        </w:tc>
        <w:tc>
          <w:tcPr>
            <w:cnfStyle w:val="000100000000" w:firstRow="0" w:lastRow="0" w:firstColumn="0" w:lastColumn="1" w:oddVBand="0" w:evenVBand="0" w:oddHBand="0" w:evenHBand="0" w:firstRowFirstColumn="0" w:firstRowLastColumn="0" w:lastRowFirstColumn="0" w:lastRowLastColumn="0"/>
            <w:tcW w:w="8612" w:type="dxa"/>
          </w:tcPr>
          <w:p w:rsidR="00CF3B1B" w:rsidRPr="00F77A7B" w:rsidRDefault="00CF3B1B" w:rsidP="00816A55">
            <w:pPr>
              <w:jc w:val="both"/>
              <w:rPr>
                <w:rFonts w:eastAsia="MS Mincho"/>
                <w:b w:val="0"/>
                <w:sz w:val="20"/>
                <w:szCs w:val="20"/>
                <w:lang w:eastAsia="fi-FI"/>
              </w:rPr>
            </w:pPr>
            <w:r w:rsidRPr="00F77A7B">
              <w:rPr>
                <w:rFonts w:eastAsia="MS Mincho"/>
                <w:b w:val="0"/>
                <w:sz w:val="20"/>
                <w:szCs w:val="20"/>
                <w:lang w:eastAsia="fi-FI"/>
              </w:rPr>
              <w:t xml:space="preserve">In 2011 Norway established </w:t>
            </w:r>
            <w:r w:rsidRPr="00CF3B1B">
              <w:rPr>
                <w:rFonts w:eastAsia="MS Mincho"/>
                <w:sz w:val="20"/>
                <w:szCs w:val="20"/>
                <w:lang w:eastAsia="fi-FI"/>
              </w:rPr>
              <w:t>National Unit for Lifelong Guidance</w:t>
            </w:r>
            <w:r w:rsidRPr="00F77A7B">
              <w:rPr>
                <w:rFonts w:eastAsia="MS Mincho"/>
                <w:b w:val="0"/>
                <w:sz w:val="20"/>
                <w:szCs w:val="20"/>
                <w:lang w:eastAsia="fi-FI"/>
              </w:rPr>
              <w:t xml:space="preserve"> as a national hub and developer, a knowledge and resource center and a national co-ordinator in</w:t>
            </w:r>
            <w:r w:rsidR="00004AE6">
              <w:rPr>
                <w:rFonts w:eastAsia="MS Mincho"/>
                <w:b w:val="0"/>
                <w:sz w:val="20"/>
                <w:szCs w:val="20"/>
                <w:lang w:eastAsia="fi-FI"/>
              </w:rPr>
              <w:t xml:space="preserve"> the</w:t>
            </w:r>
            <w:r w:rsidRPr="00F77A7B">
              <w:rPr>
                <w:rFonts w:eastAsia="MS Mincho"/>
                <w:b w:val="0"/>
                <w:sz w:val="20"/>
                <w:szCs w:val="20"/>
                <w:lang w:eastAsia="fi-FI"/>
              </w:rPr>
              <w:t xml:space="preserve"> career guidance field in Norway.</w:t>
            </w:r>
            <w:r w:rsidR="006D28D2">
              <w:rPr>
                <w:rFonts w:eastAsia="MS Mincho"/>
                <w:b w:val="0"/>
                <w:sz w:val="20"/>
                <w:szCs w:val="20"/>
                <w:lang w:eastAsia="fi-FI"/>
              </w:rPr>
              <w:t xml:space="preserve"> The unit is part of Vox – </w:t>
            </w:r>
            <w:r w:rsidR="00004AE6">
              <w:rPr>
                <w:rFonts w:eastAsia="MS Mincho"/>
                <w:b w:val="0"/>
                <w:sz w:val="20"/>
                <w:szCs w:val="20"/>
                <w:lang w:eastAsia="fi-FI"/>
              </w:rPr>
              <w:t xml:space="preserve">The </w:t>
            </w:r>
            <w:r w:rsidR="006D28D2">
              <w:rPr>
                <w:rFonts w:eastAsia="MS Mincho"/>
                <w:b w:val="0"/>
                <w:sz w:val="20"/>
                <w:szCs w:val="20"/>
                <w:lang w:eastAsia="fi-FI"/>
              </w:rPr>
              <w:t>National Agency for Lifelong Learning.</w:t>
            </w:r>
          </w:p>
          <w:p w:rsidR="00CF3B1B" w:rsidRPr="00F77A7B" w:rsidRDefault="006D28D2" w:rsidP="00816A55">
            <w:pPr>
              <w:spacing w:after="150"/>
              <w:jc w:val="both"/>
              <w:rPr>
                <w:rFonts w:cs="Arial"/>
                <w:b w:val="0"/>
                <w:color w:val="000000"/>
                <w:sz w:val="20"/>
                <w:szCs w:val="20"/>
                <w:lang w:eastAsia="nb-NO"/>
              </w:rPr>
            </w:pPr>
            <w:r>
              <w:rPr>
                <w:rFonts w:cs="Arial"/>
                <w:b w:val="0"/>
                <w:color w:val="000000"/>
                <w:sz w:val="20"/>
                <w:szCs w:val="20"/>
                <w:lang w:eastAsia="nb-NO"/>
              </w:rPr>
              <w:br/>
            </w:r>
            <w:r w:rsidR="00C25D07">
              <w:rPr>
                <w:rFonts w:cs="Arial"/>
                <w:b w:val="0"/>
                <w:color w:val="000000"/>
                <w:sz w:val="20"/>
                <w:szCs w:val="20"/>
                <w:lang w:eastAsia="nb-NO"/>
              </w:rPr>
              <w:t>Major focus</w:t>
            </w:r>
            <w:r w:rsidR="00CF3B1B">
              <w:rPr>
                <w:rFonts w:cs="Arial"/>
                <w:b w:val="0"/>
                <w:color w:val="000000"/>
                <w:sz w:val="20"/>
                <w:szCs w:val="20"/>
                <w:lang w:eastAsia="nb-NO"/>
              </w:rPr>
              <w:t xml:space="preserve"> points</w:t>
            </w:r>
            <w:r w:rsidR="00CF3B1B" w:rsidRPr="00F77A7B">
              <w:rPr>
                <w:rFonts w:cs="Arial"/>
                <w:b w:val="0"/>
                <w:color w:val="000000"/>
                <w:sz w:val="20"/>
                <w:szCs w:val="20"/>
                <w:lang w:eastAsia="nb-NO"/>
              </w:rPr>
              <w:t>:</w:t>
            </w:r>
          </w:p>
          <w:p w:rsidR="00CF3B1B" w:rsidRDefault="00CF3B1B" w:rsidP="00816A55">
            <w:pPr>
              <w:pStyle w:val="ListParagraph"/>
              <w:numPr>
                <w:ilvl w:val="0"/>
                <w:numId w:val="8"/>
              </w:numPr>
              <w:spacing w:after="150"/>
              <w:jc w:val="both"/>
              <w:rPr>
                <w:rFonts w:cs="Arial"/>
                <w:b w:val="0"/>
                <w:color w:val="000000"/>
                <w:sz w:val="20"/>
                <w:lang w:eastAsia="nb-NO"/>
              </w:rPr>
            </w:pPr>
            <w:r w:rsidRPr="00F77A7B">
              <w:rPr>
                <w:rFonts w:cs="Arial"/>
                <w:b w:val="0"/>
                <w:color w:val="000000"/>
                <w:sz w:val="20"/>
                <w:lang w:eastAsia="nb-NO"/>
              </w:rPr>
              <w:t>Cooperation and coordination between all the different career guidance provisions and the stakeholders involved</w:t>
            </w:r>
          </w:p>
          <w:p w:rsidR="00CF3B1B" w:rsidRPr="00F77A7B" w:rsidRDefault="00CF3B1B" w:rsidP="00816A55">
            <w:pPr>
              <w:pStyle w:val="ListParagraph"/>
              <w:numPr>
                <w:ilvl w:val="0"/>
                <w:numId w:val="8"/>
              </w:numPr>
              <w:spacing w:after="150"/>
              <w:jc w:val="both"/>
              <w:rPr>
                <w:rFonts w:cs="Arial"/>
                <w:b w:val="0"/>
                <w:color w:val="000000"/>
                <w:sz w:val="20"/>
                <w:lang w:eastAsia="nb-NO"/>
              </w:rPr>
            </w:pPr>
            <w:r>
              <w:rPr>
                <w:rFonts w:cs="Arial"/>
                <w:b w:val="0"/>
                <w:color w:val="000000"/>
                <w:sz w:val="20"/>
                <w:lang w:eastAsia="nb-NO"/>
              </w:rPr>
              <w:t>Strengthening and developing</w:t>
            </w:r>
            <w:r w:rsidR="00C25D07">
              <w:rPr>
                <w:rFonts w:cs="Arial"/>
                <w:b w:val="0"/>
                <w:color w:val="000000"/>
                <w:sz w:val="20"/>
                <w:lang w:eastAsia="nb-NO"/>
              </w:rPr>
              <w:t xml:space="preserve"> the regional partnerships and Career C</w:t>
            </w:r>
            <w:r>
              <w:rPr>
                <w:rFonts w:cs="Arial"/>
                <w:b w:val="0"/>
                <w:color w:val="000000"/>
                <w:sz w:val="20"/>
                <w:lang w:eastAsia="nb-NO"/>
              </w:rPr>
              <w:t>entres</w:t>
            </w:r>
          </w:p>
          <w:p w:rsidR="00CF3B1B" w:rsidRPr="00F77A7B" w:rsidRDefault="00CF3B1B" w:rsidP="00816A55">
            <w:pPr>
              <w:pStyle w:val="ListParagraph"/>
              <w:numPr>
                <w:ilvl w:val="0"/>
                <w:numId w:val="8"/>
              </w:numPr>
              <w:spacing w:after="150"/>
              <w:jc w:val="both"/>
              <w:rPr>
                <w:rFonts w:cs="Arial"/>
                <w:b w:val="0"/>
                <w:color w:val="000000"/>
                <w:sz w:val="20"/>
                <w:lang w:eastAsia="nb-NO"/>
              </w:rPr>
            </w:pPr>
            <w:r w:rsidRPr="00F77A7B">
              <w:rPr>
                <w:rFonts w:cs="Arial"/>
                <w:b w:val="0"/>
                <w:color w:val="000000"/>
                <w:sz w:val="20"/>
                <w:lang w:eastAsia="nb-NO"/>
              </w:rPr>
              <w:t>Evaluation and documentation of systems and practice in the field</w:t>
            </w:r>
          </w:p>
          <w:p w:rsidR="00CF3B1B" w:rsidRPr="00F77A7B" w:rsidRDefault="00CF3B1B" w:rsidP="00816A55">
            <w:pPr>
              <w:pStyle w:val="ListParagraph"/>
              <w:numPr>
                <w:ilvl w:val="0"/>
                <w:numId w:val="8"/>
              </w:numPr>
              <w:spacing w:after="150"/>
              <w:jc w:val="both"/>
              <w:rPr>
                <w:rFonts w:cs="Arial"/>
                <w:b w:val="0"/>
                <w:color w:val="000000"/>
                <w:sz w:val="20"/>
                <w:lang w:eastAsia="nb-NO"/>
              </w:rPr>
            </w:pPr>
            <w:r w:rsidRPr="00F77A7B">
              <w:rPr>
                <w:rFonts w:cs="Arial"/>
                <w:b w:val="0"/>
                <w:color w:val="000000"/>
                <w:sz w:val="20"/>
                <w:lang w:eastAsia="nb-NO"/>
              </w:rPr>
              <w:t>Competence development and evidence based research, both to advance career guidance as a  specific professional field and to enhance competence development for professionals</w:t>
            </w:r>
          </w:p>
          <w:p w:rsidR="00CF3B1B" w:rsidRPr="00F77A7B" w:rsidRDefault="00CF3B1B" w:rsidP="00816A55">
            <w:pPr>
              <w:pStyle w:val="ListParagraph"/>
              <w:numPr>
                <w:ilvl w:val="0"/>
                <w:numId w:val="8"/>
              </w:numPr>
              <w:spacing w:after="150"/>
              <w:jc w:val="both"/>
              <w:rPr>
                <w:rFonts w:cs="Arial"/>
                <w:b w:val="0"/>
                <w:color w:val="000000"/>
                <w:sz w:val="20"/>
                <w:lang w:eastAsia="nb-NO"/>
              </w:rPr>
            </w:pPr>
            <w:r w:rsidRPr="00F77A7B">
              <w:rPr>
                <w:rFonts w:cs="Arial"/>
                <w:b w:val="0"/>
                <w:color w:val="000000"/>
                <w:sz w:val="20"/>
                <w:lang w:eastAsia="nb-NO"/>
              </w:rPr>
              <w:t>Quality development and quality assurance</w:t>
            </w:r>
            <w:r w:rsidR="00C25D07">
              <w:rPr>
                <w:rFonts w:cs="Arial"/>
                <w:b w:val="0"/>
                <w:color w:val="000000"/>
                <w:sz w:val="20"/>
                <w:lang w:eastAsia="nb-NO"/>
              </w:rPr>
              <w:t>.</w:t>
            </w:r>
          </w:p>
          <w:p w:rsidR="00CF3B1B" w:rsidRPr="00F77A7B" w:rsidRDefault="00CF3B1B" w:rsidP="00816A55">
            <w:pPr>
              <w:pStyle w:val="ListParagraph"/>
              <w:spacing w:after="150"/>
              <w:ind w:left="1080"/>
              <w:jc w:val="both"/>
              <w:rPr>
                <w:rFonts w:cs="Arial"/>
                <w:b w:val="0"/>
                <w:color w:val="000000"/>
                <w:sz w:val="20"/>
                <w:lang w:eastAsia="nb-NO"/>
              </w:rPr>
            </w:pPr>
          </w:p>
          <w:p w:rsidR="00CF3B1B" w:rsidRPr="00F77A7B" w:rsidRDefault="00CF3B1B" w:rsidP="00816A55">
            <w:pPr>
              <w:jc w:val="both"/>
              <w:rPr>
                <w:rFonts w:cs="Arial"/>
                <w:b w:val="0"/>
                <w:color w:val="000000"/>
                <w:sz w:val="20"/>
                <w:szCs w:val="20"/>
                <w:lang w:eastAsia="nb-NO"/>
              </w:rPr>
            </w:pPr>
            <w:r w:rsidRPr="00F77A7B">
              <w:rPr>
                <w:rFonts w:eastAsia="MS Mincho"/>
                <w:b w:val="0"/>
                <w:sz w:val="20"/>
                <w:szCs w:val="20"/>
                <w:lang w:eastAsia="fi-FI"/>
              </w:rPr>
              <w:t>T</w:t>
            </w:r>
            <w:r>
              <w:rPr>
                <w:rFonts w:eastAsia="MS Mincho"/>
                <w:b w:val="0"/>
                <w:sz w:val="20"/>
                <w:szCs w:val="20"/>
                <w:lang w:eastAsia="fi-FI"/>
              </w:rPr>
              <w:t>he Unit is chairing</w:t>
            </w:r>
            <w:r w:rsidRPr="00F77A7B">
              <w:rPr>
                <w:rFonts w:eastAsia="MS Mincho"/>
                <w:b w:val="0"/>
                <w:sz w:val="20"/>
                <w:szCs w:val="20"/>
                <w:lang w:eastAsia="fi-FI"/>
              </w:rPr>
              <w:t xml:space="preserve"> a </w:t>
            </w:r>
            <w:r w:rsidR="00C25D07">
              <w:rPr>
                <w:rFonts w:eastAsia="MS Mincho"/>
                <w:sz w:val="20"/>
                <w:szCs w:val="20"/>
                <w:lang w:eastAsia="fi-FI"/>
              </w:rPr>
              <w:t>National Coordination</w:t>
            </w:r>
            <w:r w:rsidRPr="00CF3B1B">
              <w:rPr>
                <w:rFonts w:eastAsia="MS Mincho"/>
                <w:sz w:val="20"/>
                <w:szCs w:val="20"/>
                <w:lang w:eastAsia="fi-FI"/>
              </w:rPr>
              <w:t xml:space="preserve"> Group</w:t>
            </w:r>
            <w:r w:rsidRPr="00F77A7B">
              <w:rPr>
                <w:rFonts w:eastAsia="MS Mincho"/>
                <w:b w:val="0"/>
                <w:sz w:val="20"/>
                <w:szCs w:val="20"/>
                <w:lang w:eastAsia="fi-FI"/>
              </w:rPr>
              <w:t xml:space="preserve"> </w:t>
            </w:r>
            <w:r w:rsidRPr="00F77A7B">
              <w:rPr>
                <w:rFonts w:cs="Arial"/>
                <w:b w:val="0"/>
                <w:color w:val="000000"/>
                <w:sz w:val="20"/>
                <w:szCs w:val="20"/>
                <w:lang w:eastAsia="nb-NO"/>
              </w:rPr>
              <w:t>at directorate level, which is set up to coordinate policy development and implementation in the different sectors.</w:t>
            </w:r>
          </w:p>
          <w:p w:rsidR="00CF3B1B" w:rsidRPr="00F77A7B" w:rsidRDefault="00CF3B1B" w:rsidP="00816A55">
            <w:pPr>
              <w:ind w:left="360"/>
              <w:jc w:val="both"/>
              <w:rPr>
                <w:rFonts w:eastAsia="MS Mincho"/>
                <w:b w:val="0"/>
                <w:sz w:val="20"/>
                <w:szCs w:val="20"/>
                <w:lang w:eastAsia="fi-FI"/>
              </w:rPr>
            </w:pPr>
          </w:p>
          <w:p w:rsidR="00F77A7B" w:rsidRPr="006D28D2" w:rsidRDefault="00CF3B1B" w:rsidP="00816A55">
            <w:pPr>
              <w:jc w:val="both"/>
              <w:rPr>
                <w:rFonts w:cs="Arial"/>
                <w:b w:val="0"/>
                <w:color w:val="000000"/>
                <w:sz w:val="20"/>
                <w:szCs w:val="20"/>
                <w:lang w:eastAsia="nb-NO"/>
              </w:rPr>
            </w:pPr>
            <w:r w:rsidRPr="00F77A7B">
              <w:rPr>
                <w:rFonts w:eastAsia="MS Mincho"/>
                <w:b w:val="0"/>
                <w:sz w:val="20"/>
                <w:szCs w:val="20"/>
                <w:lang w:eastAsia="fi-FI"/>
              </w:rPr>
              <w:t xml:space="preserve">The Unit is also chairing a </w:t>
            </w:r>
            <w:r w:rsidRPr="00CF3B1B">
              <w:rPr>
                <w:rFonts w:eastAsia="MS Mincho"/>
                <w:sz w:val="20"/>
                <w:szCs w:val="20"/>
                <w:lang w:eastAsia="fi-FI"/>
              </w:rPr>
              <w:t>National Forum for Career Guidance</w:t>
            </w:r>
            <w:r w:rsidRPr="00F77A7B">
              <w:rPr>
                <w:rFonts w:cs="Arial"/>
                <w:b w:val="0"/>
                <w:color w:val="000000"/>
                <w:sz w:val="20"/>
                <w:szCs w:val="20"/>
                <w:lang w:eastAsia="nb-NO"/>
              </w:rPr>
              <w:t xml:space="preserve"> including all relevant stakeholders. Participation in the National </w:t>
            </w:r>
            <w:r w:rsidR="00C25D07">
              <w:rPr>
                <w:rFonts w:cs="Arial"/>
                <w:b w:val="0"/>
                <w:color w:val="000000"/>
                <w:sz w:val="20"/>
                <w:szCs w:val="20"/>
                <w:lang w:eastAsia="nb-NO"/>
              </w:rPr>
              <w:t>Forum reflects representation from</w:t>
            </w:r>
            <w:r w:rsidRPr="00F77A7B">
              <w:rPr>
                <w:rFonts w:cs="Arial"/>
                <w:b w:val="0"/>
                <w:color w:val="000000"/>
                <w:sz w:val="20"/>
                <w:szCs w:val="20"/>
                <w:lang w:eastAsia="nb-NO"/>
              </w:rPr>
              <w:t xml:space="preserve"> the regional partnerships already established in the regions/counties.</w:t>
            </w:r>
          </w:p>
        </w:tc>
      </w:tr>
      <w:tr w:rsidR="00F77A7B" w:rsidRPr="00562928" w:rsidTr="00F77A7B">
        <w:trPr>
          <w:trHeight w:val="1152"/>
        </w:trPr>
        <w:tc>
          <w:tcPr>
            <w:tcW w:w="2160" w:type="dxa"/>
            <w:vAlign w:val="center"/>
          </w:tcPr>
          <w:p w:rsidR="00F77A7B" w:rsidRPr="00562928" w:rsidRDefault="007530CD" w:rsidP="007530CD">
            <w:pPr>
              <w:rPr>
                <w:rFonts w:ascii="Arial" w:hAnsi="Arial" w:cs="Arial"/>
                <w:b/>
                <w:sz w:val="20"/>
                <w:szCs w:val="20"/>
                <w:lang w:val="en-CA"/>
              </w:rPr>
            </w:pPr>
            <w:r>
              <w:rPr>
                <w:rFonts w:ascii="Arial" w:hAnsi="Arial" w:cs="Arial"/>
                <w:b/>
                <w:sz w:val="20"/>
                <w:szCs w:val="20"/>
                <w:lang w:val="en-CA"/>
              </w:rPr>
              <w:t xml:space="preserve">Challenges </w:t>
            </w:r>
          </w:p>
        </w:tc>
        <w:tc>
          <w:tcPr>
            <w:cnfStyle w:val="000100000000" w:firstRow="0" w:lastRow="0" w:firstColumn="0" w:lastColumn="1" w:oddVBand="0" w:evenVBand="0" w:oddHBand="0" w:evenHBand="0" w:firstRowFirstColumn="0" w:firstRowLastColumn="0" w:lastRowFirstColumn="0" w:lastRowLastColumn="0"/>
            <w:tcW w:w="8612" w:type="dxa"/>
          </w:tcPr>
          <w:p w:rsidR="007530CD" w:rsidRDefault="007530CD" w:rsidP="00816A55">
            <w:pPr>
              <w:jc w:val="both"/>
              <w:rPr>
                <w:b w:val="0"/>
                <w:sz w:val="20"/>
                <w:szCs w:val="20"/>
                <w:lang w:val="en-CA" w:eastAsia="fi-FI"/>
              </w:rPr>
            </w:pPr>
            <w:r w:rsidRPr="007530CD">
              <w:rPr>
                <w:b w:val="0"/>
                <w:sz w:val="20"/>
                <w:szCs w:val="20"/>
                <w:lang w:val="en-CA" w:eastAsia="fi-FI"/>
              </w:rPr>
              <w:t xml:space="preserve">Coordination of career guidance within and between different counties, sectors and levels constitutes a major challenge. As a consequence there is a lack of coherence with regard to a lifelong service provision (OECD Skills Action Report Norway 2014). Equal access and quality assurance are major challenges. There is no shared quality framework. This is reflected in heterogeneous understandings of what career guidance is, and what should be </w:t>
            </w:r>
            <w:r w:rsidR="006F3391">
              <w:rPr>
                <w:b w:val="0"/>
                <w:sz w:val="20"/>
                <w:szCs w:val="20"/>
                <w:lang w:val="en-CA" w:eastAsia="fi-FI"/>
              </w:rPr>
              <w:t>the outcomes of career guidance,</w:t>
            </w:r>
            <w:r w:rsidRPr="007530CD">
              <w:rPr>
                <w:b w:val="0"/>
                <w:sz w:val="20"/>
                <w:szCs w:val="20"/>
                <w:lang w:val="en-CA" w:eastAsia="fi-FI"/>
              </w:rPr>
              <w:t xml:space="preserve"> undermining the potential for concerted efforts towards shared objectives.</w:t>
            </w:r>
          </w:p>
          <w:p w:rsidR="007530CD" w:rsidRPr="007530CD" w:rsidRDefault="007530CD" w:rsidP="00816A55">
            <w:pPr>
              <w:jc w:val="both"/>
              <w:rPr>
                <w:b w:val="0"/>
                <w:sz w:val="20"/>
                <w:szCs w:val="20"/>
                <w:lang w:val="en-CA" w:eastAsia="fi-FI"/>
              </w:rPr>
            </w:pPr>
            <w:r w:rsidRPr="007530CD">
              <w:rPr>
                <w:b w:val="0"/>
                <w:sz w:val="20"/>
                <w:szCs w:val="20"/>
                <w:lang w:val="en-CA" w:eastAsia="fi-FI"/>
              </w:rPr>
              <w:t xml:space="preserve"> </w:t>
            </w:r>
          </w:p>
          <w:p w:rsidR="007530CD" w:rsidRDefault="007530CD" w:rsidP="00816A55">
            <w:pPr>
              <w:jc w:val="both"/>
              <w:rPr>
                <w:b w:val="0"/>
                <w:sz w:val="20"/>
                <w:szCs w:val="20"/>
                <w:lang w:val="en-CA" w:eastAsia="fi-FI"/>
              </w:rPr>
            </w:pPr>
            <w:r w:rsidRPr="007530CD">
              <w:rPr>
                <w:b w:val="0"/>
                <w:sz w:val="20"/>
                <w:szCs w:val="20"/>
                <w:lang w:val="en-CA" w:eastAsia="fi-FI"/>
              </w:rPr>
              <w:t>Moreover, weak professionalization constitutes a challenge. There is no strong, cross-sectorial prof</w:t>
            </w:r>
            <w:r w:rsidR="006F3391">
              <w:rPr>
                <w:b w:val="0"/>
                <w:sz w:val="20"/>
                <w:szCs w:val="20"/>
                <w:lang w:val="en-CA" w:eastAsia="fi-FI"/>
              </w:rPr>
              <w:t>essional organization within careers education and guidance</w:t>
            </w:r>
            <w:r w:rsidRPr="007530CD">
              <w:rPr>
                <w:b w:val="0"/>
                <w:sz w:val="20"/>
                <w:szCs w:val="20"/>
                <w:lang w:val="en-CA" w:eastAsia="fi-FI"/>
              </w:rPr>
              <w:t xml:space="preserve">. The provision of professional training has been fragmented and restricted to short courses; however as of 2014 a Master’s degree in career guidance has been established.  We expect this to fuel the process of professionalization. </w:t>
            </w:r>
          </w:p>
          <w:p w:rsidR="007530CD" w:rsidRPr="007530CD" w:rsidRDefault="007530CD" w:rsidP="00816A55">
            <w:pPr>
              <w:jc w:val="both"/>
              <w:rPr>
                <w:b w:val="0"/>
                <w:sz w:val="20"/>
                <w:szCs w:val="20"/>
                <w:lang w:val="en-CA" w:eastAsia="fi-FI"/>
              </w:rPr>
            </w:pPr>
          </w:p>
          <w:p w:rsidR="00F77A7B" w:rsidRDefault="007530CD" w:rsidP="00816A55">
            <w:pPr>
              <w:jc w:val="both"/>
              <w:rPr>
                <w:b w:val="0"/>
                <w:sz w:val="20"/>
                <w:szCs w:val="20"/>
                <w:lang w:val="en-CA" w:eastAsia="fi-FI"/>
              </w:rPr>
            </w:pPr>
            <w:r w:rsidRPr="007530CD">
              <w:rPr>
                <w:b w:val="0"/>
                <w:sz w:val="20"/>
                <w:szCs w:val="20"/>
                <w:lang w:val="en-CA" w:eastAsia="fi-FI"/>
              </w:rPr>
              <w:t xml:space="preserve">Having a National Unit for Lifelong Guidance with a mission to improve access, coordination and quality, is an asset; however the unit does not have a mandate to instruct and can primarily achieve its objectives through the use of “soft power” and gaining other actors’ consent to making changes. </w:t>
            </w:r>
          </w:p>
          <w:p w:rsidR="006D28D2" w:rsidRPr="007530CD" w:rsidRDefault="006D28D2" w:rsidP="00816A55">
            <w:pPr>
              <w:jc w:val="both"/>
              <w:rPr>
                <w:rFonts w:ascii="Arial" w:hAnsi="Arial" w:cs="Arial"/>
                <w:sz w:val="20"/>
                <w:szCs w:val="20"/>
                <w:lang w:val="en-GB"/>
              </w:rPr>
            </w:pPr>
          </w:p>
        </w:tc>
      </w:tr>
      <w:tr w:rsidR="00F77A7B" w:rsidRPr="00562928" w:rsidTr="00F77A7B">
        <w:trPr>
          <w:trHeight w:val="1152"/>
        </w:trPr>
        <w:tc>
          <w:tcPr>
            <w:tcW w:w="2160" w:type="dxa"/>
            <w:vAlign w:val="center"/>
          </w:tcPr>
          <w:p w:rsidR="00F77A7B" w:rsidRPr="00562928" w:rsidRDefault="00763D07" w:rsidP="00617107">
            <w:pPr>
              <w:rPr>
                <w:rFonts w:ascii="Arial" w:hAnsi="Arial" w:cs="Arial"/>
                <w:b/>
                <w:sz w:val="20"/>
                <w:szCs w:val="20"/>
                <w:lang w:val="en-CA"/>
              </w:rPr>
            </w:pPr>
            <w:r>
              <w:rPr>
                <w:rFonts w:ascii="Arial" w:hAnsi="Arial" w:cs="Arial"/>
                <w:b/>
                <w:sz w:val="20"/>
                <w:szCs w:val="20"/>
                <w:lang w:val="en-CA"/>
              </w:rPr>
              <w:t>Some results and outcomes</w:t>
            </w:r>
          </w:p>
        </w:tc>
        <w:tc>
          <w:tcPr>
            <w:cnfStyle w:val="000100000000" w:firstRow="0" w:lastRow="0" w:firstColumn="0" w:lastColumn="1" w:oddVBand="0" w:evenVBand="0" w:oddHBand="0" w:evenHBand="0" w:firstRowFirstColumn="0" w:firstRowLastColumn="0" w:lastRowFirstColumn="0" w:lastRowLastColumn="0"/>
            <w:tcW w:w="8612" w:type="dxa"/>
          </w:tcPr>
          <w:p w:rsidR="00763D07" w:rsidRPr="00763D07" w:rsidRDefault="006F3391" w:rsidP="00816A55">
            <w:pPr>
              <w:jc w:val="both"/>
              <w:rPr>
                <w:sz w:val="20"/>
                <w:szCs w:val="20"/>
                <w:lang w:val="en-GB" w:eastAsia="fi-FI"/>
              </w:rPr>
            </w:pPr>
            <w:r>
              <w:rPr>
                <w:sz w:val="20"/>
                <w:szCs w:val="20"/>
                <w:lang w:val="en-GB" w:eastAsia="fi-FI"/>
              </w:rPr>
              <w:t>Government appointed Expert Group on Lifelong G</w:t>
            </w:r>
            <w:r w:rsidR="00763D07" w:rsidRPr="00763D07">
              <w:rPr>
                <w:sz w:val="20"/>
                <w:szCs w:val="20"/>
                <w:lang w:val="en-GB" w:eastAsia="fi-FI"/>
              </w:rPr>
              <w:t>uidance</w:t>
            </w:r>
          </w:p>
          <w:p w:rsidR="006D28D2" w:rsidRDefault="00763D07" w:rsidP="00816A55">
            <w:pPr>
              <w:jc w:val="both"/>
              <w:rPr>
                <w:b w:val="0"/>
                <w:sz w:val="20"/>
                <w:szCs w:val="20"/>
                <w:lang w:val="en-CA" w:eastAsia="fi-FI"/>
              </w:rPr>
            </w:pPr>
            <w:r w:rsidRPr="00763D07">
              <w:rPr>
                <w:b w:val="0"/>
                <w:sz w:val="20"/>
                <w:szCs w:val="20"/>
                <w:lang w:val="en-GB" w:eastAsia="fi-FI"/>
              </w:rPr>
              <w:t>In 2014 OECD undertook a major skills review in Norway, involving a number of stakeho</w:t>
            </w:r>
            <w:r w:rsidR="006D28D2">
              <w:rPr>
                <w:b w:val="0"/>
                <w:sz w:val="20"/>
                <w:szCs w:val="20"/>
                <w:lang w:val="en-GB" w:eastAsia="fi-FI"/>
              </w:rPr>
              <w:t xml:space="preserve">lders. The review resulted in the report </w:t>
            </w:r>
            <w:r w:rsidR="006D28D2" w:rsidRPr="000E4B7B">
              <w:rPr>
                <w:b w:val="0"/>
                <w:i/>
                <w:sz w:val="20"/>
                <w:szCs w:val="20"/>
                <w:lang w:val="en-GB" w:eastAsia="fi-FI"/>
              </w:rPr>
              <w:t>Skills Strat</w:t>
            </w:r>
            <w:r w:rsidR="006F3391">
              <w:rPr>
                <w:b w:val="0"/>
                <w:i/>
                <w:sz w:val="20"/>
                <w:szCs w:val="20"/>
                <w:lang w:val="en-GB" w:eastAsia="fi-FI"/>
              </w:rPr>
              <w:t>e</w:t>
            </w:r>
            <w:r w:rsidR="006D28D2" w:rsidRPr="000E4B7B">
              <w:rPr>
                <w:b w:val="0"/>
                <w:i/>
                <w:sz w:val="20"/>
                <w:szCs w:val="20"/>
                <w:lang w:val="en-GB" w:eastAsia="fi-FI"/>
              </w:rPr>
              <w:t xml:space="preserve">gy </w:t>
            </w:r>
            <w:r w:rsidRPr="000E4B7B">
              <w:rPr>
                <w:b w:val="0"/>
                <w:i/>
                <w:sz w:val="20"/>
                <w:szCs w:val="20"/>
                <w:lang w:val="en-GB" w:eastAsia="fi-FI"/>
              </w:rPr>
              <w:t xml:space="preserve">Diagnostic Report </w:t>
            </w:r>
            <w:r w:rsidR="006D28D2" w:rsidRPr="000E4B7B">
              <w:rPr>
                <w:b w:val="0"/>
                <w:i/>
                <w:sz w:val="20"/>
                <w:szCs w:val="20"/>
                <w:lang w:val="en-GB" w:eastAsia="fi-FI"/>
              </w:rPr>
              <w:t>Norway</w:t>
            </w:r>
            <w:r w:rsidR="006D28D2">
              <w:rPr>
                <w:b w:val="0"/>
                <w:sz w:val="20"/>
                <w:szCs w:val="20"/>
                <w:lang w:val="en-GB" w:eastAsia="fi-FI"/>
              </w:rPr>
              <w:t xml:space="preserve"> </w:t>
            </w:r>
            <w:r w:rsidRPr="00763D07">
              <w:rPr>
                <w:b w:val="0"/>
                <w:sz w:val="20"/>
                <w:szCs w:val="20"/>
                <w:lang w:val="en-GB" w:eastAsia="fi-FI"/>
              </w:rPr>
              <w:t xml:space="preserve">and was followed by </w:t>
            </w:r>
            <w:r w:rsidR="006D28D2">
              <w:rPr>
                <w:b w:val="0"/>
                <w:sz w:val="20"/>
                <w:szCs w:val="20"/>
                <w:lang w:val="en-GB" w:eastAsia="fi-FI"/>
              </w:rPr>
              <w:t xml:space="preserve">the </w:t>
            </w:r>
            <w:r w:rsidR="006D28D2" w:rsidRPr="000E4B7B">
              <w:rPr>
                <w:b w:val="0"/>
                <w:i/>
                <w:sz w:val="20"/>
                <w:szCs w:val="20"/>
                <w:lang w:val="en-GB" w:eastAsia="fi-FI"/>
              </w:rPr>
              <w:t xml:space="preserve">Skills Strategy </w:t>
            </w:r>
            <w:r w:rsidRPr="000E4B7B">
              <w:rPr>
                <w:b w:val="0"/>
                <w:i/>
                <w:sz w:val="20"/>
                <w:szCs w:val="20"/>
                <w:lang w:val="en-GB" w:eastAsia="fi-FI"/>
              </w:rPr>
              <w:t>Action Report</w:t>
            </w:r>
            <w:r w:rsidR="006D28D2" w:rsidRPr="000E4B7B">
              <w:rPr>
                <w:b w:val="0"/>
                <w:i/>
                <w:sz w:val="20"/>
                <w:szCs w:val="20"/>
                <w:lang w:val="en-GB" w:eastAsia="fi-FI"/>
              </w:rPr>
              <w:t xml:space="preserve"> Norway</w:t>
            </w:r>
            <w:r>
              <w:rPr>
                <w:b w:val="0"/>
                <w:sz w:val="20"/>
                <w:szCs w:val="20"/>
                <w:lang w:val="en-GB" w:eastAsia="fi-FI"/>
              </w:rPr>
              <w:t xml:space="preserve">. </w:t>
            </w:r>
            <w:r w:rsidRPr="00763D07">
              <w:rPr>
                <w:b w:val="0"/>
                <w:sz w:val="20"/>
                <w:szCs w:val="20"/>
                <w:lang w:val="en-GB" w:eastAsia="fi-FI"/>
              </w:rPr>
              <w:t>These reports confirmed the systemic challenges that have been pointed out in various earlier publications: a lack of coordination of career guidance and education provision, unequal access, and a weak professionalization.</w:t>
            </w:r>
          </w:p>
          <w:p w:rsidR="006D28D2" w:rsidRDefault="006D28D2" w:rsidP="00816A55">
            <w:pPr>
              <w:jc w:val="both"/>
              <w:rPr>
                <w:b w:val="0"/>
                <w:sz w:val="20"/>
                <w:szCs w:val="20"/>
                <w:lang w:val="en-CA" w:eastAsia="fi-FI"/>
              </w:rPr>
            </w:pPr>
          </w:p>
          <w:p w:rsidR="007530CD" w:rsidRDefault="00763D07" w:rsidP="00816A55">
            <w:pPr>
              <w:jc w:val="both"/>
              <w:rPr>
                <w:b w:val="0"/>
                <w:sz w:val="20"/>
                <w:szCs w:val="20"/>
                <w:lang w:val="en-CA" w:eastAsia="fi-FI"/>
              </w:rPr>
            </w:pPr>
            <w:r>
              <w:rPr>
                <w:b w:val="0"/>
                <w:sz w:val="20"/>
                <w:szCs w:val="20"/>
                <w:lang w:val="en-CA" w:eastAsia="fi-FI"/>
              </w:rPr>
              <w:t xml:space="preserve">As a </w:t>
            </w:r>
            <w:r w:rsidR="006D28D2">
              <w:rPr>
                <w:b w:val="0"/>
                <w:sz w:val="20"/>
                <w:szCs w:val="20"/>
                <w:lang w:val="en-CA" w:eastAsia="fi-FI"/>
              </w:rPr>
              <w:t>follow up of the Skills reports</w:t>
            </w:r>
            <w:r>
              <w:rPr>
                <w:b w:val="0"/>
                <w:sz w:val="20"/>
                <w:szCs w:val="20"/>
                <w:lang w:val="en-CA" w:eastAsia="fi-FI"/>
              </w:rPr>
              <w:t xml:space="preserve">, the </w:t>
            </w:r>
            <w:r w:rsidR="007530CD">
              <w:rPr>
                <w:b w:val="0"/>
                <w:sz w:val="20"/>
                <w:szCs w:val="20"/>
                <w:lang w:val="en-CA" w:eastAsia="fi-FI"/>
              </w:rPr>
              <w:t xml:space="preserve">government </w:t>
            </w:r>
            <w:r>
              <w:rPr>
                <w:b w:val="0"/>
                <w:sz w:val="20"/>
                <w:szCs w:val="20"/>
                <w:lang w:val="en-CA" w:eastAsia="fi-FI"/>
              </w:rPr>
              <w:t xml:space="preserve">in 2015 </w:t>
            </w:r>
            <w:r w:rsidR="007530CD">
              <w:rPr>
                <w:b w:val="0"/>
                <w:sz w:val="20"/>
                <w:szCs w:val="20"/>
                <w:lang w:val="en-CA" w:eastAsia="fi-FI"/>
              </w:rPr>
              <w:t>appointed a national expert group</w:t>
            </w:r>
            <w:r>
              <w:rPr>
                <w:b w:val="0"/>
                <w:sz w:val="20"/>
                <w:szCs w:val="20"/>
                <w:lang w:val="en-CA" w:eastAsia="fi-FI"/>
              </w:rPr>
              <w:t>. The group was</w:t>
            </w:r>
            <w:r w:rsidR="007530CD">
              <w:rPr>
                <w:b w:val="0"/>
                <w:sz w:val="20"/>
                <w:szCs w:val="20"/>
                <w:lang w:val="en-CA" w:eastAsia="fi-FI"/>
              </w:rPr>
              <w:t xml:space="preserve"> </w:t>
            </w:r>
            <w:r w:rsidR="00617107">
              <w:rPr>
                <w:b w:val="0"/>
                <w:sz w:val="20"/>
                <w:szCs w:val="20"/>
                <w:lang w:val="en-CA" w:eastAsia="fi-FI"/>
              </w:rPr>
              <w:t>given</w:t>
            </w:r>
            <w:r w:rsidR="007530CD">
              <w:rPr>
                <w:b w:val="0"/>
                <w:sz w:val="20"/>
                <w:szCs w:val="20"/>
                <w:lang w:val="en-CA" w:eastAsia="fi-FI"/>
              </w:rPr>
              <w:t xml:space="preserve"> the task to </w:t>
            </w:r>
            <w:r w:rsidR="00617107">
              <w:rPr>
                <w:b w:val="0"/>
                <w:sz w:val="20"/>
                <w:szCs w:val="20"/>
                <w:lang w:val="en-CA" w:eastAsia="fi-FI"/>
              </w:rPr>
              <w:t>investigate</w:t>
            </w:r>
            <w:r w:rsidR="006F3391">
              <w:rPr>
                <w:b w:val="0"/>
                <w:sz w:val="20"/>
                <w:szCs w:val="20"/>
                <w:lang w:val="en-CA" w:eastAsia="fi-FI"/>
              </w:rPr>
              <w:t xml:space="preserve"> and advis</w:t>
            </w:r>
            <w:r w:rsidR="007530CD">
              <w:rPr>
                <w:b w:val="0"/>
                <w:sz w:val="20"/>
                <w:szCs w:val="20"/>
                <w:lang w:val="en-CA" w:eastAsia="fi-FI"/>
              </w:rPr>
              <w:t>e on how to develop a more comprehensive lifelong guidanc</w:t>
            </w:r>
            <w:r w:rsidR="006F7C6F">
              <w:rPr>
                <w:b w:val="0"/>
                <w:sz w:val="20"/>
                <w:szCs w:val="20"/>
                <w:lang w:val="en-CA" w:eastAsia="fi-FI"/>
              </w:rPr>
              <w:t>e system. In October 2015 t</w:t>
            </w:r>
            <w:r w:rsidR="00617107">
              <w:rPr>
                <w:b w:val="0"/>
                <w:sz w:val="20"/>
                <w:szCs w:val="20"/>
                <w:lang w:val="en-CA" w:eastAsia="fi-FI"/>
              </w:rPr>
              <w:t xml:space="preserve">he </w:t>
            </w:r>
            <w:r w:rsidR="006F7C6F">
              <w:rPr>
                <w:b w:val="0"/>
                <w:sz w:val="20"/>
                <w:szCs w:val="20"/>
                <w:lang w:val="en-CA" w:eastAsia="fi-FI"/>
              </w:rPr>
              <w:t xml:space="preserve">expert </w:t>
            </w:r>
            <w:r w:rsidR="00617107">
              <w:rPr>
                <w:b w:val="0"/>
                <w:sz w:val="20"/>
                <w:szCs w:val="20"/>
                <w:lang w:val="en-CA" w:eastAsia="fi-FI"/>
              </w:rPr>
              <w:t xml:space="preserve">group delivered </w:t>
            </w:r>
            <w:r w:rsidR="006D28D2">
              <w:rPr>
                <w:b w:val="0"/>
                <w:sz w:val="20"/>
                <w:szCs w:val="20"/>
                <w:lang w:val="en-CA" w:eastAsia="fi-FI"/>
              </w:rPr>
              <w:t xml:space="preserve">a report </w:t>
            </w:r>
            <w:r w:rsidR="00617107">
              <w:rPr>
                <w:b w:val="0"/>
                <w:sz w:val="20"/>
                <w:szCs w:val="20"/>
                <w:lang w:val="en-CA" w:eastAsia="fi-FI"/>
              </w:rPr>
              <w:t xml:space="preserve">on </w:t>
            </w:r>
            <w:r w:rsidR="006F3391">
              <w:rPr>
                <w:b w:val="0"/>
                <w:sz w:val="20"/>
                <w:szCs w:val="20"/>
                <w:lang w:val="en-CA" w:eastAsia="fi-FI"/>
              </w:rPr>
              <w:t>how to develop</w:t>
            </w:r>
            <w:r w:rsidR="006D28D2">
              <w:rPr>
                <w:b w:val="0"/>
                <w:sz w:val="20"/>
                <w:szCs w:val="20"/>
                <w:lang w:val="en-CA" w:eastAsia="fi-FI"/>
              </w:rPr>
              <w:t xml:space="preserve"> better </w:t>
            </w:r>
            <w:r w:rsidR="00617107">
              <w:rPr>
                <w:b w:val="0"/>
                <w:sz w:val="20"/>
                <w:szCs w:val="20"/>
                <w:lang w:val="en-CA" w:eastAsia="fi-FI"/>
              </w:rPr>
              <w:t>digital career guidance services and how these services can be an integrated part of a comprehensive system.</w:t>
            </w:r>
            <w:r w:rsidR="006F7C6F">
              <w:rPr>
                <w:b w:val="0"/>
                <w:sz w:val="20"/>
                <w:szCs w:val="20"/>
                <w:lang w:val="en-CA" w:eastAsia="fi-FI"/>
              </w:rPr>
              <w:t xml:space="preserve"> The expert group will deliver its green paper on the whole system in April 2016.</w:t>
            </w:r>
          </w:p>
          <w:p w:rsidR="007530CD" w:rsidRDefault="007530CD" w:rsidP="00816A55">
            <w:pPr>
              <w:jc w:val="both"/>
              <w:rPr>
                <w:b w:val="0"/>
                <w:sz w:val="20"/>
                <w:szCs w:val="20"/>
                <w:lang w:val="en-CA" w:eastAsia="fi-FI"/>
              </w:rPr>
            </w:pPr>
          </w:p>
          <w:p w:rsidR="005A53AB" w:rsidRPr="00763D07" w:rsidRDefault="005A53AB" w:rsidP="00816A55">
            <w:pPr>
              <w:jc w:val="both"/>
              <w:rPr>
                <w:sz w:val="20"/>
                <w:szCs w:val="20"/>
                <w:lang w:eastAsia="fi-FI"/>
              </w:rPr>
            </w:pPr>
            <w:r w:rsidRPr="00763D07">
              <w:rPr>
                <w:sz w:val="20"/>
                <w:szCs w:val="20"/>
                <w:lang w:eastAsia="fi-FI"/>
              </w:rPr>
              <w:t xml:space="preserve">Steps towards more professionalization: </w:t>
            </w:r>
          </w:p>
          <w:p w:rsidR="005A53AB" w:rsidRPr="006F7C6F" w:rsidRDefault="007530CD" w:rsidP="00816A55">
            <w:pPr>
              <w:pStyle w:val="ListParagraph"/>
              <w:numPr>
                <w:ilvl w:val="0"/>
                <w:numId w:val="10"/>
              </w:numPr>
              <w:jc w:val="both"/>
              <w:rPr>
                <w:b w:val="0"/>
                <w:sz w:val="20"/>
                <w:szCs w:val="20"/>
                <w:lang w:eastAsia="fi-FI"/>
              </w:rPr>
            </w:pPr>
            <w:r w:rsidRPr="006F7C6F">
              <w:rPr>
                <w:b w:val="0"/>
                <w:sz w:val="20"/>
                <w:szCs w:val="20"/>
                <w:lang w:eastAsia="fi-FI"/>
              </w:rPr>
              <w:lastRenderedPageBreak/>
              <w:t>In 2014 the government decided to fund the first master’s degree programme in career guidance in Norway. Two university colleges cooperate in developing and delivering the programme.</w:t>
            </w:r>
          </w:p>
          <w:p w:rsidR="005A53AB" w:rsidRPr="006F7C6F" w:rsidRDefault="00763D07" w:rsidP="00816A55">
            <w:pPr>
              <w:pStyle w:val="ListParagraph"/>
              <w:numPr>
                <w:ilvl w:val="0"/>
                <w:numId w:val="10"/>
              </w:numPr>
              <w:jc w:val="both"/>
              <w:rPr>
                <w:b w:val="0"/>
                <w:sz w:val="20"/>
                <w:szCs w:val="20"/>
                <w:lang w:eastAsia="fi-FI"/>
              </w:rPr>
            </w:pPr>
            <w:r w:rsidRPr="006F7C6F">
              <w:rPr>
                <w:b w:val="0"/>
                <w:sz w:val="20"/>
                <w:szCs w:val="20"/>
                <w:lang w:eastAsia="fi-FI"/>
              </w:rPr>
              <w:t>Cross sectoral n</w:t>
            </w:r>
            <w:r w:rsidR="005A53AB" w:rsidRPr="006F7C6F">
              <w:rPr>
                <w:b w:val="0"/>
                <w:sz w:val="20"/>
                <w:szCs w:val="20"/>
                <w:lang w:eastAsia="fi-FI"/>
              </w:rPr>
              <w:t>ational website for career guidance practitioners</w:t>
            </w:r>
            <w:r w:rsidR="006F7C6F">
              <w:rPr>
                <w:b w:val="0"/>
                <w:sz w:val="20"/>
                <w:szCs w:val="20"/>
                <w:lang w:eastAsia="fi-FI"/>
              </w:rPr>
              <w:t>.</w:t>
            </w:r>
          </w:p>
          <w:p w:rsidR="005A53AB" w:rsidRPr="006F7C6F" w:rsidRDefault="005A53AB" w:rsidP="00816A55">
            <w:pPr>
              <w:pStyle w:val="ListParagraph"/>
              <w:numPr>
                <w:ilvl w:val="0"/>
                <w:numId w:val="10"/>
              </w:numPr>
              <w:jc w:val="both"/>
              <w:rPr>
                <w:b w:val="0"/>
                <w:sz w:val="20"/>
                <w:szCs w:val="20"/>
                <w:lang w:eastAsia="fi-FI"/>
              </w:rPr>
            </w:pPr>
            <w:r w:rsidRPr="006F7C6F">
              <w:rPr>
                <w:b w:val="0"/>
                <w:sz w:val="20"/>
                <w:szCs w:val="20"/>
                <w:lang w:eastAsia="fi-FI"/>
              </w:rPr>
              <w:t>Yearly conferences, networks and meeting points</w:t>
            </w:r>
            <w:r w:rsidR="006F7C6F">
              <w:rPr>
                <w:b w:val="0"/>
                <w:sz w:val="20"/>
                <w:szCs w:val="20"/>
                <w:lang w:eastAsia="fi-FI"/>
              </w:rPr>
              <w:t>.</w:t>
            </w:r>
            <w:r w:rsidRPr="006F7C6F">
              <w:rPr>
                <w:b w:val="0"/>
                <w:sz w:val="20"/>
                <w:szCs w:val="20"/>
                <w:lang w:eastAsia="fi-FI"/>
              </w:rPr>
              <w:t xml:space="preserve">   </w:t>
            </w:r>
          </w:p>
          <w:p w:rsidR="00617107" w:rsidRDefault="00617107" w:rsidP="00816A55">
            <w:pPr>
              <w:jc w:val="both"/>
              <w:rPr>
                <w:b w:val="0"/>
                <w:sz w:val="20"/>
                <w:szCs w:val="20"/>
                <w:lang w:eastAsia="fi-FI"/>
              </w:rPr>
            </w:pPr>
          </w:p>
          <w:p w:rsidR="00617107" w:rsidRDefault="00763D07" w:rsidP="00816A55">
            <w:pPr>
              <w:jc w:val="both"/>
              <w:rPr>
                <w:b w:val="0"/>
                <w:sz w:val="20"/>
                <w:szCs w:val="20"/>
                <w:lang w:eastAsia="fi-FI"/>
              </w:rPr>
            </w:pPr>
            <w:r w:rsidRPr="00763D07">
              <w:rPr>
                <w:sz w:val="20"/>
                <w:szCs w:val="20"/>
                <w:lang w:eastAsia="fi-FI"/>
              </w:rPr>
              <w:t>Evidence:</w:t>
            </w:r>
            <w:r>
              <w:rPr>
                <w:b w:val="0"/>
                <w:sz w:val="20"/>
                <w:szCs w:val="20"/>
                <w:lang w:eastAsia="fi-FI"/>
              </w:rPr>
              <w:br/>
            </w:r>
            <w:r w:rsidR="005A53AB">
              <w:rPr>
                <w:b w:val="0"/>
                <w:sz w:val="20"/>
                <w:szCs w:val="20"/>
                <w:lang w:eastAsia="fi-FI"/>
              </w:rPr>
              <w:t xml:space="preserve">There has been an increasing focus on producing reliable </w:t>
            </w:r>
            <w:r w:rsidR="00617107">
              <w:rPr>
                <w:b w:val="0"/>
                <w:sz w:val="20"/>
                <w:szCs w:val="20"/>
                <w:lang w:eastAsia="fi-FI"/>
              </w:rPr>
              <w:t>evidence</w:t>
            </w:r>
            <w:r w:rsidR="006F3391">
              <w:rPr>
                <w:b w:val="0"/>
                <w:sz w:val="20"/>
                <w:szCs w:val="20"/>
                <w:lang w:eastAsia="fi-FI"/>
              </w:rPr>
              <w:t xml:space="preserve"> for career guidance provision</w:t>
            </w:r>
            <w:r w:rsidR="005A53AB">
              <w:rPr>
                <w:b w:val="0"/>
                <w:sz w:val="20"/>
                <w:szCs w:val="20"/>
                <w:lang w:eastAsia="fi-FI"/>
              </w:rPr>
              <w:t xml:space="preserve"> in Norway. </w:t>
            </w:r>
          </w:p>
          <w:p w:rsidR="00617107" w:rsidRDefault="00617107" w:rsidP="00816A55">
            <w:pPr>
              <w:jc w:val="both"/>
              <w:rPr>
                <w:b w:val="0"/>
                <w:sz w:val="20"/>
                <w:szCs w:val="20"/>
                <w:lang w:eastAsia="fi-FI"/>
              </w:rPr>
            </w:pPr>
          </w:p>
          <w:p w:rsidR="00763D07" w:rsidRPr="00763D07" w:rsidRDefault="00763D07" w:rsidP="00816A55">
            <w:pPr>
              <w:jc w:val="both"/>
              <w:rPr>
                <w:sz w:val="20"/>
                <w:szCs w:val="20"/>
                <w:lang w:eastAsia="fi-FI"/>
              </w:rPr>
            </w:pPr>
            <w:r w:rsidRPr="00763D07">
              <w:rPr>
                <w:sz w:val="20"/>
                <w:szCs w:val="20"/>
                <w:lang w:eastAsia="fi-FI"/>
              </w:rPr>
              <w:t>Access:</w:t>
            </w:r>
          </w:p>
          <w:p w:rsidR="00F77A7B" w:rsidRDefault="006F3391" w:rsidP="00816A55">
            <w:pPr>
              <w:jc w:val="both"/>
              <w:rPr>
                <w:b w:val="0"/>
                <w:sz w:val="20"/>
                <w:szCs w:val="20"/>
                <w:lang w:eastAsia="fi-FI"/>
              </w:rPr>
            </w:pPr>
            <w:r>
              <w:rPr>
                <w:b w:val="0"/>
                <w:sz w:val="20"/>
                <w:szCs w:val="20"/>
                <w:lang w:eastAsia="fi-FI"/>
              </w:rPr>
              <w:t>More Career Ce</w:t>
            </w:r>
            <w:r w:rsidR="005A53AB">
              <w:rPr>
                <w:b w:val="0"/>
                <w:sz w:val="20"/>
                <w:szCs w:val="20"/>
                <w:lang w:eastAsia="fi-FI"/>
              </w:rPr>
              <w:t xml:space="preserve">ntres have been established </w:t>
            </w:r>
            <w:r>
              <w:rPr>
                <w:b w:val="0"/>
                <w:sz w:val="20"/>
                <w:szCs w:val="20"/>
                <w:lang w:eastAsia="fi-FI"/>
              </w:rPr>
              <w:t>in the past year</w:t>
            </w:r>
            <w:r w:rsidR="005A53AB">
              <w:rPr>
                <w:b w:val="0"/>
                <w:sz w:val="20"/>
                <w:szCs w:val="20"/>
                <w:lang w:eastAsia="fi-FI"/>
              </w:rPr>
              <w:t xml:space="preserve">, partly due to an increased focus and stimulation from national authorities.  </w:t>
            </w:r>
          </w:p>
          <w:p w:rsidR="00763D07" w:rsidRDefault="00763D07" w:rsidP="00816A55">
            <w:pPr>
              <w:jc w:val="both"/>
              <w:rPr>
                <w:b w:val="0"/>
                <w:sz w:val="20"/>
                <w:szCs w:val="20"/>
                <w:lang w:eastAsia="fi-FI"/>
              </w:rPr>
            </w:pPr>
          </w:p>
          <w:p w:rsidR="00763D07" w:rsidRPr="00763D07" w:rsidRDefault="00763D07" w:rsidP="00816A55">
            <w:pPr>
              <w:jc w:val="both"/>
              <w:rPr>
                <w:sz w:val="20"/>
                <w:szCs w:val="20"/>
                <w:lang w:eastAsia="fi-FI"/>
              </w:rPr>
            </w:pPr>
            <w:r w:rsidRPr="00763D07">
              <w:rPr>
                <w:sz w:val="20"/>
                <w:szCs w:val="20"/>
                <w:lang w:eastAsia="fi-FI"/>
              </w:rPr>
              <w:t>Career education</w:t>
            </w:r>
            <w:r w:rsidR="00D27421">
              <w:rPr>
                <w:sz w:val="20"/>
                <w:szCs w:val="20"/>
                <w:lang w:eastAsia="fi-FI"/>
              </w:rPr>
              <w:t>:</w:t>
            </w:r>
          </w:p>
          <w:p w:rsidR="00763D07" w:rsidRPr="00763D07" w:rsidRDefault="00D27421" w:rsidP="00816A55">
            <w:pPr>
              <w:jc w:val="both"/>
              <w:rPr>
                <w:b w:val="0"/>
                <w:sz w:val="20"/>
                <w:szCs w:val="20"/>
                <w:lang w:eastAsia="fi-FI"/>
              </w:rPr>
            </w:pPr>
            <w:r>
              <w:rPr>
                <w:b w:val="0"/>
                <w:sz w:val="20"/>
                <w:szCs w:val="20"/>
                <w:lang w:eastAsia="fi-FI"/>
              </w:rPr>
              <w:t>In low</w:t>
            </w:r>
            <w:r w:rsidR="00763D07">
              <w:rPr>
                <w:b w:val="0"/>
                <w:sz w:val="20"/>
                <w:szCs w:val="20"/>
                <w:lang w:eastAsia="fi-FI"/>
              </w:rPr>
              <w:t xml:space="preserve">er secondary school pupils have a subject called “educational choice”. The </w:t>
            </w:r>
            <w:r>
              <w:rPr>
                <w:b w:val="0"/>
                <w:sz w:val="20"/>
                <w:szCs w:val="20"/>
                <w:lang w:eastAsia="fi-FI"/>
              </w:rPr>
              <w:t>subject curriculum has</w:t>
            </w:r>
            <w:r w:rsidR="006F7C6F">
              <w:rPr>
                <w:b w:val="0"/>
                <w:sz w:val="20"/>
                <w:szCs w:val="20"/>
                <w:lang w:eastAsia="fi-FI"/>
              </w:rPr>
              <w:t xml:space="preserve"> </w:t>
            </w:r>
            <w:r w:rsidR="006F3391">
              <w:rPr>
                <w:b w:val="0"/>
                <w:sz w:val="20"/>
                <w:szCs w:val="20"/>
                <w:lang w:eastAsia="fi-FI"/>
              </w:rPr>
              <w:t>recently been revised</w:t>
            </w:r>
            <w:r w:rsidR="003D18C7">
              <w:rPr>
                <w:b w:val="0"/>
                <w:sz w:val="20"/>
                <w:szCs w:val="20"/>
                <w:lang w:eastAsia="fi-FI"/>
              </w:rPr>
              <w:t xml:space="preserve"> </w:t>
            </w:r>
            <w:r>
              <w:rPr>
                <w:b w:val="0"/>
                <w:sz w:val="20"/>
                <w:szCs w:val="20"/>
                <w:lang w:eastAsia="fi-FI"/>
              </w:rPr>
              <w:t xml:space="preserve">with a stronger focus on career learning.  </w:t>
            </w:r>
          </w:p>
        </w:tc>
      </w:tr>
      <w:tr w:rsidR="00F77A7B" w:rsidRPr="006F3391" w:rsidTr="00F77A7B">
        <w:trPr>
          <w:cnfStyle w:val="010000000000" w:firstRow="0" w:lastRow="1" w:firstColumn="0" w:lastColumn="0" w:oddVBand="0" w:evenVBand="0" w:oddHBand="0" w:evenHBand="0" w:firstRowFirstColumn="0" w:firstRowLastColumn="0" w:lastRowFirstColumn="0" w:lastRowLastColumn="0"/>
          <w:trHeight w:val="1152"/>
        </w:trPr>
        <w:tc>
          <w:tcPr>
            <w:tcW w:w="2160" w:type="dxa"/>
            <w:vAlign w:val="center"/>
          </w:tcPr>
          <w:p w:rsidR="00F77A7B" w:rsidRPr="00763D07" w:rsidRDefault="00763D07" w:rsidP="00763D07">
            <w:pPr>
              <w:rPr>
                <w:rFonts w:ascii="Arial" w:hAnsi="Arial" w:cs="Arial"/>
                <w:sz w:val="20"/>
                <w:szCs w:val="20"/>
                <w:lang w:val="en-CA"/>
              </w:rPr>
            </w:pPr>
            <w:r w:rsidRPr="00763D07">
              <w:rPr>
                <w:rFonts w:ascii="Arial" w:hAnsi="Arial" w:cs="Arial"/>
                <w:sz w:val="20"/>
                <w:szCs w:val="20"/>
                <w:lang w:val="en-CA"/>
              </w:rPr>
              <w:lastRenderedPageBreak/>
              <w:t>Presenter name</w:t>
            </w:r>
          </w:p>
        </w:tc>
        <w:tc>
          <w:tcPr>
            <w:cnfStyle w:val="000100000000" w:firstRow="0" w:lastRow="0" w:firstColumn="0" w:lastColumn="1" w:oddVBand="0" w:evenVBand="0" w:oddHBand="0" w:evenHBand="0" w:firstRowFirstColumn="0" w:firstRowLastColumn="0" w:lastRowFirstColumn="0" w:lastRowLastColumn="0"/>
            <w:tcW w:w="8612" w:type="dxa"/>
          </w:tcPr>
          <w:p w:rsidR="00D27421" w:rsidRDefault="00F77A7B" w:rsidP="00816A55">
            <w:pPr>
              <w:jc w:val="both"/>
              <w:rPr>
                <w:rFonts w:ascii="Arial" w:hAnsi="Arial" w:cs="Arial"/>
                <w:b w:val="0"/>
                <w:sz w:val="20"/>
                <w:szCs w:val="20"/>
                <w:lang w:val="en-CA"/>
              </w:rPr>
            </w:pPr>
            <w:r w:rsidRPr="00763D07">
              <w:rPr>
                <w:rFonts w:ascii="Arial" w:hAnsi="Arial" w:cs="Arial"/>
                <w:b w:val="0"/>
                <w:sz w:val="20"/>
                <w:szCs w:val="20"/>
                <w:lang w:val="en-CA"/>
              </w:rPr>
              <w:t xml:space="preserve"> </w:t>
            </w:r>
          </w:p>
          <w:p w:rsidR="00F77A7B" w:rsidRPr="00763D07" w:rsidRDefault="006F3391" w:rsidP="00816A55">
            <w:pPr>
              <w:jc w:val="both"/>
              <w:rPr>
                <w:rFonts w:ascii="Arial" w:hAnsi="Arial" w:cs="Arial"/>
                <w:b w:val="0"/>
                <w:sz w:val="20"/>
                <w:szCs w:val="20"/>
                <w:lang w:val="en-CA"/>
              </w:rPr>
            </w:pPr>
            <w:r>
              <w:rPr>
                <w:b w:val="0"/>
                <w:sz w:val="20"/>
                <w:szCs w:val="20"/>
                <w:lang w:eastAsia="fi-FI"/>
              </w:rPr>
              <w:t>Tonje Gravås, Senior A</w:t>
            </w:r>
            <w:r w:rsidR="00763D07" w:rsidRPr="00D27421">
              <w:rPr>
                <w:b w:val="0"/>
                <w:sz w:val="20"/>
                <w:szCs w:val="20"/>
                <w:lang w:eastAsia="fi-FI"/>
              </w:rPr>
              <w:t>dvisor</w:t>
            </w:r>
            <w:r>
              <w:rPr>
                <w:b w:val="0"/>
                <w:sz w:val="20"/>
                <w:szCs w:val="20"/>
                <w:lang w:eastAsia="fi-FI"/>
              </w:rPr>
              <w:t>,</w:t>
            </w:r>
            <w:r w:rsidR="00763D07" w:rsidRPr="00D27421">
              <w:rPr>
                <w:b w:val="0"/>
                <w:sz w:val="20"/>
                <w:szCs w:val="20"/>
                <w:lang w:eastAsia="fi-FI"/>
              </w:rPr>
              <w:t xml:space="preserve"> National</w:t>
            </w:r>
            <w:r>
              <w:rPr>
                <w:b w:val="0"/>
                <w:sz w:val="20"/>
                <w:szCs w:val="20"/>
                <w:lang w:eastAsia="fi-FI"/>
              </w:rPr>
              <w:t xml:space="preserve"> Unit for Lifelong Guidance, VOX</w:t>
            </w:r>
            <w:r w:rsidR="000E4B7B">
              <w:rPr>
                <w:b w:val="0"/>
                <w:sz w:val="20"/>
                <w:szCs w:val="20"/>
                <w:lang w:eastAsia="fi-FI"/>
              </w:rPr>
              <w:t>.</w:t>
            </w:r>
          </w:p>
        </w:tc>
        <w:bookmarkStart w:id="0" w:name="_GoBack"/>
        <w:bookmarkEnd w:id="0"/>
      </w:tr>
    </w:tbl>
    <w:p w:rsidR="006D39B8" w:rsidRPr="00562928" w:rsidRDefault="006D39B8">
      <w:pPr>
        <w:rPr>
          <w:rFonts w:ascii="Arial" w:hAnsi="Arial" w:cs="Arial"/>
          <w:sz w:val="20"/>
          <w:szCs w:val="20"/>
          <w:lang w:val="en-CA"/>
        </w:rPr>
      </w:pPr>
    </w:p>
    <w:p w:rsidR="00A471FC" w:rsidRPr="00562928" w:rsidRDefault="00A471FC">
      <w:pPr>
        <w:rPr>
          <w:rFonts w:ascii="Arial" w:hAnsi="Arial" w:cs="Arial"/>
          <w:sz w:val="20"/>
          <w:szCs w:val="20"/>
          <w:lang w:val="en-CA"/>
        </w:rPr>
      </w:pPr>
    </w:p>
    <w:p w:rsidR="00562928" w:rsidRPr="00562928" w:rsidRDefault="00562928">
      <w:pPr>
        <w:rPr>
          <w:rFonts w:ascii="Arial" w:hAnsi="Arial" w:cs="Arial"/>
          <w:sz w:val="20"/>
          <w:szCs w:val="20"/>
          <w:lang w:val="en-CA"/>
        </w:rPr>
      </w:pPr>
    </w:p>
    <w:sectPr w:rsidR="00562928" w:rsidRPr="00562928" w:rsidSect="00AB4858">
      <w:pgSz w:w="12240" w:h="15840" w:code="1"/>
      <w:pgMar w:top="1440" w:right="907" w:bottom="1440" w:left="12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E29" w:rsidRDefault="00935E29">
      <w:r>
        <w:separator/>
      </w:r>
    </w:p>
  </w:endnote>
  <w:endnote w:type="continuationSeparator" w:id="0">
    <w:p w:rsidR="00935E29" w:rsidRDefault="0093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E29" w:rsidRDefault="00935E29">
      <w:r>
        <w:separator/>
      </w:r>
    </w:p>
  </w:footnote>
  <w:footnote w:type="continuationSeparator" w:id="0">
    <w:p w:rsidR="00935E29" w:rsidRDefault="0093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760"/>
    <w:multiLevelType w:val="hybridMultilevel"/>
    <w:tmpl w:val="78745BFE"/>
    <w:lvl w:ilvl="0" w:tplc="0409000F">
      <w:start w:val="1"/>
      <w:numFmt w:val="decimal"/>
      <w:lvlText w:val="%1."/>
      <w:lvlJc w:val="left"/>
      <w:pPr>
        <w:tabs>
          <w:tab w:val="num" w:pos="360"/>
        </w:tabs>
        <w:ind w:left="360" w:hanging="360"/>
      </w:p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A81226"/>
    <w:multiLevelType w:val="hybridMultilevel"/>
    <w:tmpl w:val="C77C5C80"/>
    <w:lvl w:ilvl="0" w:tplc="CD944BC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2E0AEC"/>
    <w:multiLevelType w:val="hybridMultilevel"/>
    <w:tmpl w:val="687CDA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25E49DE"/>
    <w:multiLevelType w:val="hybridMultilevel"/>
    <w:tmpl w:val="F6386AE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293C1E"/>
    <w:multiLevelType w:val="hybridMultilevel"/>
    <w:tmpl w:val="3942EE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BE16AE9"/>
    <w:multiLevelType w:val="hybridMultilevel"/>
    <w:tmpl w:val="8EDAA94E"/>
    <w:lvl w:ilvl="0" w:tplc="DEFAA2F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641962"/>
    <w:multiLevelType w:val="hybridMultilevel"/>
    <w:tmpl w:val="1D046D2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17069B6">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E4153"/>
    <w:multiLevelType w:val="hybridMultilevel"/>
    <w:tmpl w:val="78FE2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450531"/>
    <w:multiLevelType w:val="hybridMultilevel"/>
    <w:tmpl w:val="D18C9DE4"/>
    <w:lvl w:ilvl="0" w:tplc="CD944BC4">
      <w:numFmt w:val="bullet"/>
      <w:lvlText w:val=""/>
      <w:lvlJc w:val="left"/>
      <w:pPr>
        <w:tabs>
          <w:tab w:val="num" w:pos="360"/>
        </w:tabs>
        <w:ind w:left="360" w:hanging="360"/>
      </w:pPr>
      <w:rPr>
        <w:rFonts w:ascii="Symbol" w:eastAsia="Times New Roman" w:hAnsi="Symbol" w:cs="Arial" w:hint="default"/>
      </w:rPr>
    </w:lvl>
    <w:lvl w:ilvl="1" w:tplc="CD944BC4">
      <w:numFmt w:val="bullet"/>
      <w:lvlText w:val=""/>
      <w:lvlJc w:val="left"/>
      <w:pPr>
        <w:tabs>
          <w:tab w:val="num" w:pos="1080"/>
        </w:tabs>
        <w:ind w:left="1080" w:hanging="360"/>
      </w:pPr>
      <w:rPr>
        <w:rFonts w:ascii="Symbol" w:eastAsia="Times New Roman" w:hAnsi="Symbo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A4C6FCD"/>
    <w:multiLevelType w:val="hybridMultilevel"/>
    <w:tmpl w:val="61B02024"/>
    <w:lvl w:ilvl="0" w:tplc="17A68B5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0"/>
  </w:num>
  <w:num w:numId="4">
    <w:abstractNumId w:val="8"/>
  </w:num>
  <w:num w:numId="5">
    <w:abstractNumId w:val="1"/>
  </w:num>
  <w:num w:numId="6">
    <w:abstractNumId w:val="3"/>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62"/>
    <w:rsid w:val="000000BE"/>
    <w:rsid w:val="00004AE6"/>
    <w:rsid w:val="00024A77"/>
    <w:rsid w:val="00032770"/>
    <w:rsid w:val="00032916"/>
    <w:rsid w:val="00061358"/>
    <w:rsid w:val="00093731"/>
    <w:rsid w:val="000C1E41"/>
    <w:rsid w:val="000E4B7B"/>
    <w:rsid w:val="00127EB1"/>
    <w:rsid w:val="0018336C"/>
    <w:rsid w:val="00196E9D"/>
    <w:rsid w:val="001B6748"/>
    <w:rsid w:val="00204596"/>
    <w:rsid w:val="00204E2E"/>
    <w:rsid w:val="00263E2F"/>
    <w:rsid w:val="002A1AF1"/>
    <w:rsid w:val="002D687E"/>
    <w:rsid w:val="00302644"/>
    <w:rsid w:val="003118E8"/>
    <w:rsid w:val="00314E38"/>
    <w:rsid w:val="00395DFC"/>
    <w:rsid w:val="003D18C7"/>
    <w:rsid w:val="00427601"/>
    <w:rsid w:val="00432158"/>
    <w:rsid w:val="00435E44"/>
    <w:rsid w:val="00441D74"/>
    <w:rsid w:val="00453E74"/>
    <w:rsid w:val="004706FD"/>
    <w:rsid w:val="0048385A"/>
    <w:rsid w:val="004C0419"/>
    <w:rsid w:val="004C423F"/>
    <w:rsid w:val="004D6155"/>
    <w:rsid w:val="004D6F25"/>
    <w:rsid w:val="004E23AB"/>
    <w:rsid w:val="004E72E8"/>
    <w:rsid w:val="004E7462"/>
    <w:rsid w:val="00513A64"/>
    <w:rsid w:val="005143B9"/>
    <w:rsid w:val="0052696F"/>
    <w:rsid w:val="00562928"/>
    <w:rsid w:val="00564A44"/>
    <w:rsid w:val="005A5131"/>
    <w:rsid w:val="005A53AB"/>
    <w:rsid w:val="00614127"/>
    <w:rsid w:val="00617107"/>
    <w:rsid w:val="00617B31"/>
    <w:rsid w:val="006461BF"/>
    <w:rsid w:val="00647CC4"/>
    <w:rsid w:val="006A3E25"/>
    <w:rsid w:val="006D28D2"/>
    <w:rsid w:val="006D39B8"/>
    <w:rsid w:val="006F3391"/>
    <w:rsid w:val="006F7C6F"/>
    <w:rsid w:val="00712617"/>
    <w:rsid w:val="007530CD"/>
    <w:rsid w:val="00756580"/>
    <w:rsid w:val="00763D07"/>
    <w:rsid w:val="00772325"/>
    <w:rsid w:val="007B74EA"/>
    <w:rsid w:val="007E6C7E"/>
    <w:rsid w:val="00803CD5"/>
    <w:rsid w:val="00816A55"/>
    <w:rsid w:val="00853D1B"/>
    <w:rsid w:val="00863A22"/>
    <w:rsid w:val="00865D09"/>
    <w:rsid w:val="008A36DA"/>
    <w:rsid w:val="008E3366"/>
    <w:rsid w:val="008E405A"/>
    <w:rsid w:val="00914D27"/>
    <w:rsid w:val="00935E29"/>
    <w:rsid w:val="00945C0D"/>
    <w:rsid w:val="009825A6"/>
    <w:rsid w:val="009A6F1F"/>
    <w:rsid w:val="009E7F5E"/>
    <w:rsid w:val="00A418D7"/>
    <w:rsid w:val="00A45313"/>
    <w:rsid w:val="00A464EA"/>
    <w:rsid w:val="00A471FC"/>
    <w:rsid w:val="00A72D9D"/>
    <w:rsid w:val="00A832C5"/>
    <w:rsid w:val="00AB4858"/>
    <w:rsid w:val="00AB5068"/>
    <w:rsid w:val="00AC0B2D"/>
    <w:rsid w:val="00AF44A4"/>
    <w:rsid w:val="00B056F4"/>
    <w:rsid w:val="00B12888"/>
    <w:rsid w:val="00B24890"/>
    <w:rsid w:val="00B25D5F"/>
    <w:rsid w:val="00B4040E"/>
    <w:rsid w:val="00C25D07"/>
    <w:rsid w:val="00C42FE9"/>
    <w:rsid w:val="00CB1CE3"/>
    <w:rsid w:val="00CF3B1B"/>
    <w:rsid w:val="00D27421"/>
    <w:rsid w:val="00DD16F3"/>
    <w:rsid w:val="00E27A78"/>
    <w:rsid w:val="00E4172F"/>
    <w:rsid w:val="00ED4349"/>
    <w:rsid w:val="00EE0460"/>
    <w:rsid w:val="00EE79F2"/>
    <w:rsid w:val="00F443ED"/>
    <w:rsid w:val="00F64978"/>
    <w:rsid w:val="00F64BE2"/>
    <w:rsid w:val="00F72555"/>
    <w:rsid w:val="00F77A7B"/>
    <w:rsid w:val="00F831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5C411"/>
  <w15:docId w15:val="{4E99541F-F850-4CE1-BE13-CB062380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7462"/>
    <w:rPr>
      <w:sz w:val="24"/>
      <w:szCs w:val="24"/>
      <w:lang w:val="en-US" w:eastAsia="en-US"/>
    </w:rPr>
  </w:style>
  <w:style w:type="paragraph" w:styleId="Heading1">
    <w:name w:val="heading 1"/>
    <w:basedOn w:val="Normal"/>
    <w:next w:val="Normal"/>
    <w:qFormat/>
    <w:rsid w:val="00F64BE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4E7462"/>
    <w:rPr>
      <w:rFonts w:ascii="Arial" w:hAnsi="Arial" w:cs="Arial"/>
      <w:color w:val="auto"/>
      <w:sz w:val="20"/>
      <w:szCs w:val="20"/>
    </w:rPr>
  </w:style>
  <w:style w:type="table" w:styleId="TableGrid">
    <w:name w:val="Table Grid"/>
    <w:basedOn w:val="TableNormal"/>
    <w:rsid w:val="004E2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329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032916"/>
    <w:pPr>
      <w:tabs>
        <w:tab w:val="center" w:pos="4320"/>
        <w:tab w:val="right" w:pos="8640"/>
      </w:tabs>
    </w:pPr>
  </w:style>
  <w:style w:type="paragraph" w:styleId="Footer">
    <w:name w:val="footer"/>
    <w:basedOn w:val="Normal"/>
    <w:rsid w:val="00032916"/>
    <w:pPr>
      <w:tabs>
        <w:tab w:val="center" w:pos="4320"/>
        <w:tab w:val="right" w:pos="8640"/>
      </w:tabs>
    </w:pPr>
  </w:style>
  <w:style w:type="character" w:styleId="Hyperlink">
    <w:name w:val="Hyperlink"/>
    <w:basedOn w:val="DefaultParagraphFont"/>
    <w:rsid w:val="00AB4858"/>
    <w:rPr>
      <w:rFonts w:ascii="Verdana" w:hAnsi="Verdana" w:hint="default"/>
      <w:color w:val="336699"/>
      <w:sz w:val="18"/>
      <w:szCs w:val="18"/>
      <w:u w:val="single"/>
    </w:rPr>
  </w:style>
  <w:style w:type="character" w:styleId="Emphasis">
    <w:name w:val="Emphasis"/>
    <w:basedOn w:val="DefaultParagraphFont"/>
    <w:qFormat/>
    <w:rsid w:val="00F64BE2"/>
    <w:rPr>
      <w:i/>
      <w:iCs/>
    </w:rPr>
  </w:style>
  <w:style w:type="paragraph" w:styleId="NormalWeb">
    <w:name w:val="Normal (Web)"/>
    <w:basedOn w:val="Normal"/>
    <w:rsid w:val="00A45313"/>
    <w:pPr>
      <w:spacing w:before="100" w:beforeAutospacing="1" w:after="100" w:afterAutospacing="1"/>
    </w:pPr>
  </w:style>
  <w:style w:type="paragraph" w:styleId="ListParagraph">
    <w:name w:val="List Paragraph"/>
    <w:aliases w:val="Mummuga loetelu"/>
    <w:basedOn w:val="Normal"/>
    <w:link w:val="ListParagraphChar"/>
    <w:uiPriority w:val="34"/>
    <w:qFormat/>
    <w:rsid w:val="005A5131"/>
    <w:pPr>
      <w:ind w:left="720"/>
      <w:contextualSpacing/>
    </w:pPr>
  </w:style>
  <w:style w:type="character" w:customStyle="1" w:styleId="ListParagraphChar">
    <w:name w:val="List Paragraph Char"/>
    <w:aliases w:val="Mummuga loetelu Char"/>
    <w:link w:val="ListParagraph"/>
    <w:uiPriority w:val="34"/>
    <w:locked/>
    <w:rsid w:val="00F77A7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2688">
      <w:bodyDiv w:val="1"/>
      <w:marLeft w:val="0"/>
      <w:marRight w:val="0"/>
      <w:marTop w:val="0"/>
      <w:marBottom w:val="0"/>
      <w:divBdr>
        <w:top w:val="none" w:sz="0" w:space="0" w:color="auto"/>
        <w:left w:val="none" w:sz="0" w:space="0" w:color="auto"/>
        <w:bottom w:val="none" w:sz="0" w:space="0" w:color="auto"/>
        <w:right w:val="none" w:sz="0" w:space="0" w:color="auto"/>
      </w:divBdr>
      <w:divsChild>
        <w:div w:id="516390708">
          <w:marLeft w:val="0"/>
          <w:marRight w:val="0"/>
          <w:marTop w:val="0"/>
          <w:marBottom w:val="0"/>
          <w:divBdr>
            <w:top w:val="none" w:sz="0" w:space="0" w:color="auto"/>
            <w:left w:val="none" w:sz="0" w:space="0" w:color="auto"/>
            <w:bottom w:val="none" w:sz="0" w:space="0" w:color="auto"/>
            <w:right w:val="none" w:sz="0" w:space="0" w:color="auto"/>
          </w:divBdr>
          <w:divsChild>
            <w:div w:id="3725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594">
      <w:bodyDiv w:val="1"/>
      <w:marLeft w:val="0"/>
      <w:marRight w:val="0"/>
      <w:marTop w:val="0"/>
      <w:marBottom w:val="0"/>
      <w:divBdr>
        <w:top w:val="none" w:sz="0" w:space="0" w:color="auto"/>
        <w:left w:val="none" w:sz="0" w:space="0" w:color="auto"/>
        <w:bottom w:val="none" w:sz="0" w:space="0" w:color="auto"/>
        <w:right w:val="none" w:sz="0" w:space="0" w:color="auto"/>
      </w:divBdr>
      <w:divsChild>
        <w:div w:id="1088623648">
          <w:marLeft w:val="0"/>
          <w:marRight w:val="0"/>
          <w:marTop w:val="0"/>
          <w:marBottom w:val="0"/>
          <w:divBdr>
            <w:top w:val="none" w:sz="0" w:space="0" w:color="auto"/>
            <w:left w:val="none" w:sz="0" w:space="0" w:color="auto"/>
            <w:bottom w:val="none" w:sz="0" w:space="0" w:color="auto"/>
            <w:right w:val="none" w:sz="0" w:space="0" w:color="auto"/>
          </w:divBdr>
          <w:divsChild>
            <w:div w:id="20010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7138</Characters>
  <Application>Microsoft Office Word</Application>
  <DocSecurity>0</DocSecurity>
  <Lines>59</Lines>
  <Paragraphs>16</Paragraphs>
  <ScaleCrop>false</ScaleCrop>
  <HeadingPairs>
    <vt:vector size="8" baseType="variant">
      <vt:variant>
        <vt:lpstr>Title</vt:lpstr>
      </vt:variant>
      <vt:variant>
        <vt:i4>1</vt:i4>
      </vt:variant>
      <vt:variant>
        <vt:lpstr>Otsikko</vt:lpstr>
      </vt:variant>
      <vt:variant>
        <vt:i4>1</vt:i4>
      </vt:variant>
      <vt:variant>
        <vt:lpstr>Tittel</vt:lpstr>
      </vt:variant>
      <vt:variant>
        <vt:i4>1</vt:i4>
      </vt:variant>
      <vt:variant>
        <vt:lpstr>Titel</vt:lpstr>
      </vt:variant>
      <vt:variant>
        <vt:i4>1</vt:i4>
      </vt:variant>
    </vt:vector>
  </HeadingPairs>
  <TitlesOfParts>
    <vt:vector size="4" baseType="lpstr">
      <vt:lpstr>A template will have to be developed by each contractor in order to capture information on different initiatives (i</vt:lpstr>
      <vt:lpstr>A template will have to be developed by each contractor in order to capture information on different initiatives (i</vt:lpstr>
      <vt:lpstr>A template will have to be developed by each contractor in order to capture information on different initiatives (i</vt:lpstr>
      <vt:lpstr>A template will have to be developed by each contractor in order to capture information on different initiatives (i</vt:lpstr>
    </vt:vector>
  </TitlesOfParts>
  <Company>Kuder, Inc.</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template will have to be developed by each contractor in order to capture information on different initiatives (i</dc:title>
  <dc:creator>Lynda</dc:creator>
  <cp:lastModifiedBy>John McCarthy</cp:lastModifiedBy>
  <cp:revision>2</cp:revision>
  <cp:lastPrinted>2015-06-03T14:12:00Z</cp:lastPrinted>
  <dcterms:created xsi:type="dcterms:W3CDTF">2016-04-17T17:38:00Z</dcterms:created>
  <dcterms:modified xsi:type="dcterms:W3CDTF">2016-04-17T17:38:00Z</dcterms:modified>
</cp:coreProperties>
</file>